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53177D" w14:textId="41E30928" w:rsidR="00A671E7" w:rsidRDefault="008D761F" w:rsidP="005B5A00">
      <w:pPr>
        <w:suppressAutoHyphens w:val="0"/>
        <w:adjustRightInd/>
        <w:snapToGrid/>
        <w:jc w:val="both"/>
      </w:pPr>
      <w:sdt>
        <w:sdtPr>
          <w:id w:val="1659805047"/>
          <w:docPartObj>
            <w:docPartGallery w:val="Cover Pages"/>
            <w:docPartUnique/>
          </w:docPartObj>
        </w:sdtPr>
        <w:sdtEndPr/>
        <w:sdtContent>
          <w:r w:rsidR="00A671E7" w:rsidRPr="00C53564">
            <w:rPr>
              <w:noProof/>
              <w:color w:val="FFFFFF" w:themeColor="background1"/>
            </w:rPr>
            <mc:AlternateContent>
              <mc:Choice Requires="wps">
                <w:drawing>
                  <wp:anchor distT="0" distB="0" distL="114300" distR="114300" simplePos="0" relativeHeight="251657728" behindDoc="0" locked="0" layoutInCell="1" allowOverlap="1" wp14:anchorId="2BE2F9ED" wp14:editId="41D02E3A">
                    <wp:simplePos x="0" y="0"/>
                    <wp:positionH relativeFrom="page">
                      <wp:posOffset>246380</wp:posOffset>
                    </wp:positionH>
                    <wp:positionV relativeFrom="page">
                      <wp:posOffset>4273550</wp:posOffset>
                    </wp:positionV>
                    <wp:extent cx="7055485" cy="6133465"/>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6133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061B" w14:textId="563505F3" w:rsidR="00A677F5" w:rsidRPr="00D06E53" w:rsidRDefault="00A677F5"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w:t>
                                </w:r>
                              </w:p>
                              <w:p w14:paraId="6B2E5304" w14:textId="77777777" w:rsidR="00A677F5" w:rsidRDefault="00A677F5" w:rsidP="00A671E7">
                                <w:pPr>
                                  <w:pStyle w:val="CMSAddress"/>
                                  <w:rPr>
                                    <w:color w:val="000000" w:themeColor="text1"/>
                                    <w:sz w:val="44"/>
                                    <w:szCs w:val="44"/>
                                  </w:rPr>
                                </w:pPr>
                              </w:p>
                              <w:p w14:paraId="6B33A993" w14:textId="77777777" w:rsidR="00A677F5" w:rsidRDefault="00A677F5" w:rsidP="00A671E7">
                                <w:pPr>
                                  <w:pStyle w:val="CMSAddress"/>
                                  <w:rPr>
                                    <w:color w:val="000000" w:themeColor="text1"/>
                                    <w:sz w:val="44"/>
                                    <w:szCs w:val="44"/>
                                  </w:rPr>
                                </w:pPr>
                              </w:p>
                              <w:p w14:paraId="37FD669C" w14:textId="77777777" w:rsidR="00A677F5" w:rsidRDefault="00A677F5" w:rsidP="00A671E7">
                                <w:pPr>
                                  <w:pStyle w:val="CMSAddress"/>
                                  <w:rPr>
                                    <w:color w:val="000000" w:themeColor="text1"/>
                                    <w:sz w:val="44"/>
                                    <w:szCs w:val="44"/>
                                  </w:rPr>
                                </w:pPr>
                              </w:p>
                              <w:p w14:paraId="7DA40A30" w14:textId="69F59325" w:rsidR="00A677F5" w:rsidRPr="00A671E7" w:rsidRDefault="00A677F5"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2F9ED" id="Rechteck 4" o:spid="_x0000_s1026" style="position:absolute;left:0;text-align:left;margin-left:19.4pt;margin-top:336.5pt;width:555.55pt;height:48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" filled="f" stroked="f" strokeweight="2pt">
                    <v:path arrowok="t"/>
                    <o:lock v:ext="edit" aspectratio="t"/>
                    <v:textbox inset="14mm,10mm,21mm,7mm">
                      <w:txbxContent>
                        <w:p w14:paraId="0BD3061B" w14:textId="563505F3" w:rsidR="00A677F5" w:rsidRPr="00D06E53" w:rsidRDefault="00A677F5"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w:t>
                          </w:r>
                        </w:p>
                        <w:p w14:paraId="6B2E5304" w14:textId="77777777" w:rsidR="00A677F5" w:rsidRDefault="00A677F5" w:rsidP="00A671E7">
                          <w:pPr>
                            <w:pStyle w:val="CMSAddress"/>
                            <w:rPr>
                              <w:color w:val="000000" w:themeColor="text1"/>
                              <w:sz w:val="44"/>
                              <w:szCs w:val="44"/>
                            </w:rPr>
                          </w:pPr>
                        </w:p>
                        <w:p w14:paraId="6B33A993" w14:textId="77777777" w:rsidR="00A677F5" w:rsidRDefault="00A677F5" w:rsidP="00A671E7">
                          <w:pPr>
                            <w:pStyle w:val="CMSAddress"/>
                            <w:rPr>
                              <w:color w:val="000000" w:themeColor="text1"/>
                              <w:sz w:val="44"/>
                              <w:szCs w:val="44"/>
                            </w:rPr>
                          </w:pPr>
                        </w:p>
                        <w:p w14:paraId="37FD669C" w14:textId="77777777" w:rsidR="00A677F5" w:rsidRDefault="00A677F5" w:rsidP="00A671E7">
                          <w:pPr>
                            <w:pStyle w:val="CMSAddress"/>
                            <w:rPr>
                              <w:color w:val="000000" w:themeColor="text1"/>
                              <w:sz w:val="44"/>
                              <w:szCs w:val="44"/>
                            </w:rPr>
                          </w:pPr>
                        </w:p>
                        <w:p w14:paraId="7DA40A30" w14:textId="69F59325" w:rsidR="00A677F5" w:rsidRPr="00A671E7" w:rsidRDefault="00A677F5" w:rsidP="00A671E7">
                          <w:pPr>
                            <w:pStyle w:val="CMSAddress"/>
                            <w:rPr>
                              <w:color w:val="000000" w:themeColor="text1"/>
                              <w:sz w:val="44"/>
                              <w:szCs w:val="44"/>
                            </w:rPr>
                          </w:pPr>
                          <w:r>
                            <w:rPr>
                              <w:color w:val="000000" w:themeColor="text1"/>
                              <w:sz w:val="44"/>
                              <w:szCs w:val="44"/>
                            </w:rPr>
                            <w:t>Geldwäsche-Risikoanalyse gemäß § 5 GwG</w:t>
                          </w:r>
                        </w:p>
                      </w:txbxContent>
                    </v:textbox>
                    <w10:wrap anchorx="page" anchory="page"/>
                  </v:rect>
                </w:pict>
              </mc:Fallback>
            </mc:AlternateContent>
          </w:r>
          <w:r w:rsidR="00A671E7">
            <w:br w:type="page"/>
          </w:r>
        </w:sdtContent>
      </w:sdt>
    </w:p>
    <w:p w14:paraId="03B90263" w14:textId="77777777" w:rsidR="004F68D2" w:rsidRDefault="004F68D2" w:rsidP="005B5A00">
      <w:pPr>
        <w:jc w:val="both"/>
      </w:pPr>
    </w:p>
    <w:p w14:paraId="6B9D39B3" w14:textId="77777777" w:rsidR="00AF4A98" w:rsidRDefault="00AF4A98" w:rsidP="005B5A00">
      <w:pPr>
        <w:jc w:val="both"/>
      </w:pPr>
    </w:p>
    <w:p w14:paraId="09BB688A" w14:textId="77777777"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14:paraId="75A627CF" w14:textId="77777777" w:rsidR="00AF4A98" w:rsidRDefault="00AF4A98" w:rsidP="005B5A00">
      <w:pPr>
        <w:jc w:val="both"/>
      </w:pPr>
    </w:p>
    <w:p w14:paraId="02521A74" w14:textId="77777777" w:rsidR="00992A7E" w:rsidRPr="00522144" w:rsidRDefault="00992A7E" w:rsidP="005B5A00">
      <w:pPr>
        <w:jc w:val="both"/>
      </w:pPr>
    </w:p>
    <w:p w14:paraId="22CD7722" w14:textId="77777777" w:rsidR="00AF4A98" w:rsidRPr="00EF1C45" w:rsidRDefault="00AF4A98" w:rsidP="005B5A00">
      <w:pPr>
        <w:jc w:val="both"/>
        <w:rPr>
          <w:b/>
        </w:rPr>
      </w:pPr>
    </w:p>
    <w:p w14:paraId="20B61C81" w14:textId="685BB287" w:rsidR="00987A70" w:rsidRDefault="00AF4A98">
      <w:pPr>
        <w:pStyle w:val="Verzeichnis2"/>
        <w:tabs>
          <w:tab w:val="left" w:pos="1134"/>
        </w:tabs>
        <w:rPr>
          <w:rFonts w:eastAsiaTheme="minorEastAsia" w:cstheme="minorBidi"/>
          <w:noProof/>
          <w:sz w:val="22"/>
          <w:szCs w:val="22"/>
        </w:rPr>
      </w:pPr>
      <w:r w:rsidRPr="00531E5F">
        <w:fldChar w:fldCharType="begin"/>
      </w:r>
      <w:r w:rsidRPr="00531E5F">
        <w:instrText xml:space="preserve"> TOC \o "1-3" \h \z \u </w:instrText>
      </w:r>
      <w:r w:rsidRPr="00531E5F">
        <w:fldChar w:fldCharType="separate"/>
      </w:r>
      <w:hyperlink w:anchor="_Toc28008491" w:history="1">
        <w:r w:rsidR="00987A70" w:rsidRPr="00337B3E">
          <w:rPr>
            <w:rStyle w:val="Hyperlink"/>
            <w:noProof/>
          </w:rPr>
          <w:t>I.</w:t>
        </w:r>
        <w:r w:rsidR="00987A70">
          <w:rPr>
            <w:rFonts w:eastAsiaTheme="minorEastAsia" w:cstheme="minorBidi"/>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987A70">
          <w:rPr>
            <w:noProof/>
            <w:webHidden/>
          </w:rPr>
          <w:t>2</w:t>
        </w:r>
        <w:r w:rsidR="00987A70">
          <w:rPr>
            <w:noProof/>
            <w:webHidden/>
          </w:rPr>
          <w:fldChar w:fldCharType="end"/>
        </w:r>
      </w:hyperlink>
    </w:p>
    <w:p w14:paraId="057055E9" w14:textId="512D2426" w:rsidR="00987A70" w:rsidRDefault="008D761F">
      <w:pPr>
        <w:pStyle w:val="Verzeichnis2"/>
        <w:tabs>
          <w:tab w:val="left" w:pos="1134"/>
        </w:tabs>
        <w:rPr>
          <w:rFonts w:eastAsiaTheme="minorEastAsia" w:cstheme="minorBidi"/>
          <w:noProof/>
          <w:sz w:val="22"/>
          <w:szCs w:val="22"/>
        </w:rPr>
      </w:pPr>
      <w:hyperlink w:anchor="_Toc28008492" w:history="1">
        <w:r w:rsidR="00987A70" w:rsidRPr="00337B3E">
          <w:rPr>
            <w:rStyle w:val="Hyperlink"/>
            <w:noProof/>
          </w:rPr>
          <w:t>II.</w:t>
        </w:r>
        <w:r w:rsidR="00987A70">
          <w:rPr>
            <w:rFonts w:eastAsiaTheme="minorEastAsia" w:cstheme="minorBidi"/>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419C8557" w14:textId="21904CB4" w:rsidR="00987A70" w:rsidRDefault="008D761F">
      <w:pPr>
        <w:pStyle w:val="Verzeichnis3"/>
        <w:tabs>
          <w:tab w:val="left" w:pos="1701"/>
        </w:tabs>
        <w:rPr>
          <w:rFonts w:eastAsiaTheme="minorEastAsia" w:cstheme="minorBidi"/>
          <w:noProof/>
          <w:sz w:val="22"/>
          <w:szCs w:val="22"/>
        </w:rPr>
      </w:pPr>
      <w:hyperlink w:anchor="_Toc28008493"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2CB42F33" w14:textId="1AD90E43" w:rsidR="00987A70" w:rsidRDefault="008D761F">
      <w:pPr>
        <w:pStyle w:val="Verzeichnis3"/>
        <w:tabs>
          <w:tab w:val="left" w:pos="1701"/>
        </w:tabs>
        <w:rPr>
          <w:rFonts w:eastAsiaTheme="minorEastAsia" w:cstheme="minorBidi"/>
          <w:noProof/>
          <w:sz w:val="22"/>
          <w:szCs w:val="22"/>
        </w:rPr>
      </w:pPr>
      <w:hyperlink w:anchor="_Toc28008494" w:history="1">
        <w:r w:rsidR="00987A70" w:rsidRPr="00337B3E">
          <w:rPr>
            <w:rStyle w:val="Hyperlink"/>
            <w:noProof/>
          </w:rPr>
          <w:t>2.</w:t>
        </w:r>
        <w:r w:rsidR="00987A70">
          <w:rPr>
            <w:rFonts w:eastAsiaTheme="minorEastAsia" w:cstheme="minorBidi"/>
            <w:noProof/>
            <w:sz w:val="22"/>
            <w:szCs w:val="22"/>
          </w:rPr>
          <w:tab/>
        </w:r>
        <w:r w:rsidR="00987A70" w:rsidRPr="00337B3E">
          <w:rPr>
            <w:rStyle w:val="Hyperlink"/>
            <w:noProof/>
          </w:rPr>
          <w:t>Organisationsstruktur</w:t>
        </w:r>
        <w:r w:rsidR="00987A70">
          <w:rPr>
            <w:noProof/>
            <w:webHidden/>
          </w:rPr>
          <w:tab/>
        </w:r>
        <w:r w:rsidR="00987A70">
          <w:rPr>
            <w:noProof/>
            <w:webHidden/>
          </w:rPr>
          <w:fldChar w:fldCharType="begin"/>
        </w:r>
        <w:r w:rsidR="00987A70">
          <w:rPr>
            <w:noProof/>
            <w:webHidden/>
          </w:rPr>
          <w:instrText xml:space="preserve"> PAGEREF _Toc28008494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17839424" w14:textId="598168FF" w:rsidR="00987A70" w:rsidRDefault="008D761F">
      <w:pPr>
        <w:pStyle w:val="Verzeichnis3"/>
        <w:tabs>
          <w:tab w:val="left" w:pos="1701"/>
        </w:tabs>
        <w:rPr>
          <w:rFonts w:eastAsiaTheme="minorEastAsia" w:cstheme="minorBidi"/>
          <w:noProof/>
          <w:sz w:val="22"/>
          <w:szCs w:val="22"/>
        </w:rPr>
      </w:pPr>
      <w:hyperlink w:anchor="_Toc28008495" w:history="1">
        <w:r w:rsidR="00987A70" w:rsidRPr="00337B3E">
          <w:rPr>
            <w:rStyle w:val="Hyperlink"/>
            <w:noProof/>
          </w:rPr>
          <w:t>3.</w:t>
        </w:r>
        <w:r w:rsidR="00987A70">
          <w:rPr>
            <w:rFonts w:eastAsiaTheme="minorEastAsia" w:cstheme="minorBidi"/>
            <w:noProof/>
            <w:sz w:val="22"/>
            <w:szCs w:val="22"/>
          </w:rPr>
          <w:tab/>
        </w:r>
        <w:r w:rsidR="00987A70" w:rsidRPr="00337B3E">
          <w:rPr>
            <w:rStyle w:val="Hyperlink"/>
            <w:noProof/>
          </w:rPr>
          <w:t>Mandantenstruktur</w:t>
        </w:r>
        <w:r w:rsidR="00987A70">
          <w:rPr>
            <w:noProof/>
            <w:webHidden/>
          </w:rPr>
          <w:tab/>
        </w:r>
        <w:r w:rsidR="00987A70">
          <w:rPr>
            <w:noProof/>
            <w:webHidden/>
          </w:rPr>
          <w:fldChar w:fldCharType="begin"/>
        </w:r>
        <w:r w:rsidR="00987A70">
          <w:rPr>
            <w:noProof/>
            <w:webHidden/>
          </w:rPr>
          <w:instrText xml:space="preserve"> PAGEREF _Toc28008495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2DD6F009" w14:textId="4910F5F6" w:rsidR="00987A70" w:rsidRDefault="008D761F">
      <w:pPr>
        <w:pStyle w:val="Verzeichnis3"/>
        <w:tabs>
          <w:tab w:val="left" w:pos="1701"/>
        </w:tabs>
        <w:rPr>
          <w:rFonts w:eastAsiaTheme="minorEastAsia" w:cstheme="minorBidi"/>
          <w:noProof/>
          <w:sz w:val="22"/>
          <w:szCs w:val="22"/>
        </w:rPr>
      </w:pPr>
      <w:hyperlink w:anchor="_Toc28008496" w:history="1">
        <w:r w:rsidR="00987A70" w:rsidRPr="00337B3E">
          <w:rPr>
            <w:rStyle w:val="Hyperlink"/>
            <w:noProof/>
          </w:rPr>
          <w:t>4.</w:t>
        </w:r>
        <w:r w:rsidR="00987A70">
          <w:rPr>
            <w:rFonts w:eastAsiaTheme="minorEastAsia" w:cstheme="minorBidi"/>
            <w:noProof/>
            <w:sz w:val="22"/>
            <w:szCs w:val="22"/>
          </w:rPr>
          <w:tab/>
        </w:r>
        <w:r w:rsidR="00987A70" w:rsidRPr="00337B3E">
          <w:rPr>
            <w:rStyle w:val="Hyperlink"/>
            <w:noProof/>
          </w:rPr>
          <w:t>Mandatsstruktur (Geschäftsrisiko)</w:t>
        </w:r>
        <w:r w:rsidR="00987A70">
          <w:rPr>
            <w:noProof/>
            <w:webHidden/>
          </w:rPr>
          <w:tab/>
        </w:r>
        <w:r w:rsidR="00987A70">
          <w:rPr>
            <w:noProof/>
            <w:webHidden/>
          </w:rPr>
          <w:fldChar w:fldCharType="begin"/>
        </w:r>
        <w:r w:rsidR="00987A70">
          <w:rPr>
            <w:noProof/>
            <w:webHidden/>
          </w:rPr>
          <w:instrText xml:space="preserve"> PAGEREF _Toc28008496 \h </w:instrText>
        </w:r>
        <w:r w:rsidR="00987A70">
          <w:rPr>
            <w:noProof/>
            <w:webHidden/>
          </w:rPr>
        </w:r>
        <w:r w:rsidR="00987A70">
          <w:rPr>
            <w:noProof/>
            <w:webHidden/>
          </w:rPr>
          <w:fldChar w:fldCharType="separate"/>
        </w:r>
        <w:r w:rsidR="00987A70">
          <w:rPr>
            <w:noProof/>
            <w:webHidden/>
          </w:rPr>
          <w:t>8</w:t>
        </w:r>
        <w:r w:rsidR="00987A70">
          <w:rPr>
            <w:noProof/>
            <w:webHidden/>
          </w:rPr>
          <w:fldChar w:fldCharType="end"/>
        </w:r>
      </w:hyperlink>
    </w:p>
    <w:p w14:paraId="29C363A2" w14:textId="1BF455BD" w:rsidR="00987A70" w:rsidRDefault="008D761F">
      <w:pPr>
        <w:pStyle w:val="Verzeichnis3"/>
        <w:tabs>
          <w:tab w:val="left" w:pos="1701"/>
        </w:tabs>
        <w:rPr>
          <w:rFonts w:eastAsiaTheme="minorEastAsia" w:cstheme="minorBidi"/>
          <w:noProof/>
          <w:sz w:val="22"/>
          <w:szCs w:val="22"/>
        </w:rPr>
      </w:pPr>
      <w:hyperlink w:anchor="_Toc28008497" w:history="1">
        <w:r w:rsidR="00987A70" w:rsidRPr="00337B3E">
          <w:rPr>
            <w:rStyle w:val="Hyperlink"/>
            <w:noProof/>
          </w:rPr>
          <w:t>5.</w:t>
        </w:r>
        <w:r w:rsidR="00987A70">
          <w:rPr>
            <w:rFonts w:eastAsiaTheme="minorEastAsia" w:cstheme="minorBidi"/>
            <w:noProof/>
            <w:sz w:val="22"/>
            <w:szCs w:val="22"/>
          </w:rPr>
          <w:tab/>
        </w:r>
        <w:r w:rsidR="00987A70" w:rsidRPr="00337B3E">
          <w:rPr>
            <w:rStyle w:val="Hyperlink"/>
            <w:noProof/>
          </w:rPr>
          <w:t>Transaktionsstruktur</w:t>
        </w:r>
        <w:r w:rsidR="00987A70">
          <w:rPr>
            <w:noProof/>
            <w:webHidden/>
          </w:rPr>
          <w:tab/>
        </w:r>
        <w:r w:rsidR="00987A70">
          <w:rPr>
            <w:noProof/>
            <w:webHidden/>
          </w:rPr>
          <w:fldChar w:fldCharType="begin"/>
        </w:r>
        <w:r w:rsidR="00987A70">
          <w:rPr>
            <w:noProof/>
            <w:webHidden/>
          </w:rPr>
          <w:instrText xml:space="preserve"> PAGEREF _Toc28008497 \h </w:instrText>
        </w:r>
        <w:r w:rsidR="00987A70">
          <w:rPr>
            <w:noProof/>
            <w:webHidden/>
          </w:rPr>
        </w:r>
        <w:r w:rsidR="00987A70">
          <w:rPr>
            <w:noProof/>
            <w:webHidden/>
          </w:rPr>
          <w:fldChar w:fldCharType="separate"/>
        </w:r>
        <w:r w:rsidR="00987A70">
          <w:rPr>
            <w:noProof/>
            <w:webHidden/>
          </w:rPr>
          <w:t>9</w:t>
        </w:r>
        <w:r w:rsidR="00987A70">
          <w:rPr>
            <w:noProof/>
            <w:webHidden/>
          </w:rPr>
          <w:fldChar w:fldCharType="end"/>
        </w:r>
      </w:hyperlink>
    </w:p>
    <w:p w14:paraId="47D219F0" w14:textId="28D081C7" w:rsidR="00987A70" w:rsidRDefault="008D761F">
      <w:pPr>
        <w:pStyle w:val="Verzeichnis3"/>
        <w:tabs>
          <w:tab w:val="left" w:pos="1701"/>
        </w:tabs>
        <w:rPr>
          <w:rFonts w:eastAsiaTheme="minorEastAsia" w:cstheme="minorBidi"/>
          <w:noProof/>
          <w:sz w:val="22"/>
          <w:szCs w:val="22"/>
        </w:rPr>
      </w:pPr>
      <w:hyperlink w:anchor="_Toc28008498" w:history="1">
        <w:r w:rsidR="00987A70" w:rsidRPr="00337B3E">
          <w:rPr>
            <w:rStyle w:val="Hyperlink"/>
            <w:noProof/>
          </w:rPr>
          <w:t>6.</w:t>
        </w:r>
        <w:r w:rsidR="00987A70">
          <w:rPr>
            <w:rFonts w:eastAsiaTheme="minorEastAsia" w:cstheme="minorBidi"/>
            <w:noProof/>
            <w:sz w:val="22"/>
            <w:szCs w:val="22"/>
          </w:rPr>
          <w:tab/>
        </w:r>
        <w:r w:rsidR="00987A70" w:rsidRPr="00337B3E">
          <w:rPr>
            <w:rStyle w:val="Hyperlink"/>
            <w:noProof/>
          </w:rPr>
          <w:t>Geographische Faktoren</w:t>
        </w:r>
        <w:r w:rsidR="00987A70">
          <w:rPr>
            <w:noProof/>
            <w:webHidden/>
          </w:rPr>
          <w:tab/>
        </w:r>
        <w:r w:rsidR="00987A70">
          <w:rPr>
            <w:noProof/>
            <w:webHidden/>
          </w:rPr>
          <w:fldChar w:fldCharType="begin"/>
        </w:r>
        <w:r w:rsidR="00987A70">
          <w:rPr>
            <w:noProof/>
            <w:webHidden/>
          </w:rPr>
          <w:instrText xml:space="preserve"> PAGEREF _Toc28008498 \h </w:instrText>
        </w:r>
        <w:r w:rsidR="00987A70">
          <w:rPr>
            <w:noProof/>
            <w:webHidden/>
          </w:rPr>
        </w:r>
        <w:r w:rsidR="00987A70">
          <w:rPr>
            <w:noProof/>
            <w:webHidden/>
          </w:rPr>
          <w:fldChar w:fldCharType="separate"/>
        </w:r>
        <w:r w:rsidR="00987A70">
          <w:rPr>
            <w:noProof/>
            <w:webHidden/>
          </w:rPr>
          <w:t>9</w:t>
        </w:r>
        <w:r w:rsidR="00987A70">
          <w:rPr>
            <w:noProof/>
            <w:webHidden/>
          </w:rPr>
          <w:fldChar w:fldCharType="end"/>
        </w:r>
      </w:hyperlink>
    </w:p>
    <w:p w14:paraId="6239EF17" w14:textId="005505A7" w:rsidR="00987A70" w:rsidRDefault="008D761F">
      <w:pPr>
        <w:pStyle w:val="Verzeichnis2"/>
        <w:tabs>
          <w:tab w:val="left" w:pos="1134"/>
        </w:tabs>
        <w:rPr>
          <w:rFonts w:eastAsiaTheme="minorEastAsia" w:cstheme="minorBidi"/>
          <w:noProof/>
          <w:sz w:val="22"/>
          <w:szCs w:val="22"/>
        </w:rPr>
      </w:pPr>
      <w:hyperlink w:anchor="_Toc28008499" w:history="1">
        <w:r w:rsidR="00987A70" w:rsidRPr="00337B3E">
          <w:rPr>
            <w:rStyle w:val="Hyperlink"/>
            <w:noProof/>
          </w:rPr>
          <w:t>III.</w:t>
        </w:r>
        <w:r w:rsidR="00987A70">
          <w:rPr>
            <w:rFonts w:eastAsiaTheme="minorEastAsia" w:cstheme="minorBidi"/>
            <w:noProof/>
            <w:sz w:val="22"/>
            <w:szCs w:val="22"/>
          </w:rPr>
          <w:tab/>
        </w:r>
        <w:r w:rsidR="00987A70" w:rsidRPr="00337B3E">
          <w:rPr>
            <w:rStyle w:val="Hyperlink"/>
            <w:noProof/>
          </w:rPr>
          <w:t>Risikobestimmung</w:t>
        </w:r>
        <w:r w:rsidR="00987A70">
          <w:rPr>
            <w:noProof/>
            <w:webHidden/>
          </w:rPr>
          <w:tab/>
        </w:r>
        <w:r w:rsidR="00987A70">
          <w:rPr>
            <w:noProof/>
            <w:webHidden/>
          </w:rPr>
          <w:fldChar w:fldCharType="begin"/>
        </w:r>
        <w:r w:rsidR="00987A70">
          <w:rPr>
            <w:noProof/>
            <w:webHidden/>
          </w:rPr>
          <w:instrText xml:space="preserve"> PAGEREF _Toc28008499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63963C91" w14:textId="526C5612" w:rsidR="00987A70" w:rsidRDefault="008D761F">
      <w:pPr>
        <w:pStyle w:val="Verzeichnis3"/>
        <w:tabs>
          <w:tab w:val="left" w:pos="1701"/>
        </w:tabs>
        <w:rPr>
          <w:rFonts w:eastAsiaTheme="minorEastAsia" w:cstheme="minorBidi"/>
          <w:noProof/>
          <w:sz w:val="22"/>
          <w:szCs w:val="22"/>
        </w:rPr>
      </w:pPr>
      <w:hyperlink w:anchor="_Toc28008500"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Quellen für die Risikobestimmung</w:t>
        </w:r>
        <w:r w:rsidR="00987A70">
          <w:rPr>
            <w:noProof/>
            <w:webHidden/>
          </w:rPr>
          <w:tab/>
        </w:r>
        <w:r w:rsidR="00987A70">
          <w:rPr>
            <w:noProof/>
            <w:webHidden/>
          </w:rPr>
          <w:fldChar w:fldCharType="begin"/>
        </w:r>
        <w:r w:rsidR="00987A70">
          <w:rPr>
            <w:noProof/>
            <w:webHidden/>
          </w:rPr>
          <w:instrText xml:space="preserve"> PAGEREF _Toc28008500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159E6025" w14:textId="5E9E8767" w:rsidR="00987A70" w:rsidRDefault="008D761F">
      <w:pPr>
        <w:pStyle w:val="Verzeichnis3"/>
        <w:tabs>
          <w:tab w:val="left" w:pos="1701"/>
        </w:tabs>
        <w:rPr>
          <w:rFonts w:eastAsiaTheme="minorEastAsia" w:cstheme="minorBidi"/>
          <w:noProof/>
          <w:sz w:val="22"/>
          <w:szCs w:val="22"/>
        </w:rPr>
      </w:pPr>
      <w:hyperlink w:anchor="_Toc28008501" w:history="1">
        <w:r w:rsidR="00987A70" w:rsidRPr="00337B3E">
          <w:rPr>
            <w:rStyle w:val="Hyperlink"/>
            <w:noProof/>
          </w:rPr>
          <w:t>2.</w:t>
        </w:r>
        <w:r w:rsidR="00987A70">
          <w:rPr>
            <w:rFonts w:eastAsiaTheme="minorEastAsia" w:cstheme="minorBidi"/>
            <w:noProof/>
            <w:sz w:val="22"/>
            <w:szCs w:val="22"/>
          </w:rPr>
          <w:tab/>
        </w:r>
        <w:r w:rsidR="00987A70" w:rsidRPr="00337B3E">
          <w:rPr>
            <w:rStyle w:val="Hyperlink"/>
            <w:noProof/>
          </w:rPr>
          <w:t>Risikobestimmung vor Mandatsannahme</w:t>
        </w:r>
        <w:r w:rsidR="00987A70">
          <w:rPr>
            <w:noProof/>
            <w:webHidden/>
          </w:rPr>
          <w:tab/>
        </w:r>
        <w:r w:rsidR="00987A70">
          <w:rPr>
            <w:noProof/>
            <w:webHidden/>
          </w:rPr>
          <w:fldChar w:fldCharType="begin"/>
        </w:r>
        <w:r w:rsidR="00987A70">
          <w:rPr>
            <w:noProof/>
            <w:webHidden/>
          </w:rPr>
          <w:instrText xml:space="preserve"> PAGEREF _Toc28008501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77DB1A45" w14:textId="32E92354" w:rsidR="00987A70" w:rsidRDefault="008D761F">
      <w:pPr>
        <w:pStyle w:val="Verzeichnis3"/>
        <w:tabs>
          <w:tab w:val="left" w:pos="1701"/>
        </w:tabs>
        <w:rPr>
          <w:rFonts w:eastAsiaTheme="minorEastAsia" w:cstheme="minorBidi"/>
          <w:noProof/>
          <w:sz w:val="22"/>
          <w:szCs w:val="22"/>
        </w:rPr>
      </w:pPr>
      <w:hyperlink w:anchor="_Toc28008502" w:history="1">
        <w:r w:rsidR="00987A70" w:rsidRPr="00337B3E">
          <w:rPr>
            <w:rStyle w:val="Hyperlink"/>
            <w:noProof/>
          </w:rPr>
          <w:t>3.</w:t>
        </w:r>
        <w:r w:rsidR="00987A70">
          <w:rPr>
            <w:rFonts w:eastAsiaTheme="minorEastAsia" w:cstheme="minorBidi"/>
            <w:noProof/>
            <w:sz w:val="22"/>
            <w:szCs w:val="22"/>
          </w:rPr>
          <w:tab/>
        </w:r>
        <w:r w:rsidR="00987A70" w:rsidRPr="00337B3E">
          <w:rPr>
            <w:rStyle w:val="Hyperlink"/>
            <w:noProof/>
          </w:rPr>
          <w:t>Risikobestimmung bei Mandatsannahme</w:t>
        </w:r>
        <w:r w:rsidR="00987A70">
          <w:rPr>
            <w:noProof/>
            <w:webHidden/>
          </w:rPr>
          <w:tab/>
        </w:r>
        <w:r w:rsidR="00987A70">
          <w:rPr>
            <w:noProof/>
            <w:webHidden/>
          </w:rPr>
          <w:fldChar w:fldCharType="begin"/>
        </w:r>
        <w:r w:rsidR="00987A70">
          <w:rPr>
            <w:noProof/>
            <w:webHidden/>
          </w:rPr>
          <w:instrText xml:space="preserve"> PAGEREF _Toc28008502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2B8BB710" w14:textId="3E5359CD" w:rsidR="00987A70" w:rsidRDefault="008D761F">
      <w:pPr>
        <w:pStyle w:val="Verzeichnis3"/>
        <w:tabs>
          <w:tab w:val="left" w:pos="1701"/>
        </w:tabs>
        <w:rPr>
          <w:rFonts w:eastAsiaTheme="minorEastAsia" w:cstheme="minorBidi"/>
          <w:noProof/>
          <w:sz w:val="22"/>
          <w:szCs w:val="22"/>
        </w:rPr>
      </w:pPr>
      <w:hyperlink w:anchor="_Toc28008503" w:history="1">
        <w:r w:rsidR="00987A70" w:rsidRPr="00337B3E">
          <w:rPr>
            <w:rStyle w:val="Hyperlink"/>
            <w:noProof/>
          </w:rPr>
          <w:t>4.</w:t>
        </w:r>
        <w:r w:rsidR="00987A70">
          <w:rPr>
            <w:rFonts w:eastAsiaTheme="minorEastAsia" w:cstheme="minorBidi"/>
            <w:noProof/>
            <w:sz w:val="22"/>
            <w:szCs w:val="22"/>
          </w:rPr>
          <w:tab/>
        </w:r>
        <w:r w:rsidR="00987A70" w:rsidRPr="00337B3E">
          <w:rPr>
            <w:rStyle w:val="Hyperlink"/>
            <w:noProof/>
          </w:rPr>
          <w:t>Risikobestimmung im Laufe der Mandatsbeziehung</w:t>
        </w:r>
        <w:r w:rsidR="00987A70">
          <w:rPr>
            <w:noProof/>
            <w:webHidden/>
          </w:rPr>
          <w:tab/>
        </w:r>
        <w:r w:rsidR="00987A70">
          <w:rPr>
            <w:noProof/>
            <w:webHidden/>
          </w:rPr>
          <w:fldChar w:fldCharType="begin"/>
        </w:r>
        <w:r w:rsidR="00987A70">
          <w:rPr>
            <w:noProof/>
            <w:webHidden/>
          </w:rPr>
          <w:instrText xml:space="preserve"> PAGEREF _Toc28008503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29FAAD2B" w14:textId="14562E23" w:rsidR="00987A70" w:rsidRDefault="008D761F">
      <w:pPr>
        <w:pStyle w:val="Verzeichnis2"/>
        <w:tabs>
          <w:tab w:val="left" w:pos="1134"/>
        </w:tabs>
        <w:rPr>
          <w:rFonts w:eastAsiaTheme="minorEastAsia" w:cstheme="minorBidi"/>
          <w:noProof/>
          <w:sz w:val="22"/>
          <w:szCs w:val="22"/>
        </w:rPr>
      </w:pPr>
      <w:hyperlink w:anchor="_Toc28008504" w:history="1">
        <w:r w:rsidR="00987A70" w:rsidRPr="00337B3E">
          <w:rPr>
            <w:rStyle w:val="Hyperlink"/>
            <w:noProof/>
          </w:rPr>
          <w:t>IV.</w:t>
        </w:r>
        <w:r w:rsidR="00987A70">
          <w:rPr>
            <w:rFonts w:eastAsiaTheme="minorEastAsia" w:cstheme="minorBidi"/>
            <w:noProof/>
            <w:sz w:val="22"/>
            <w:szCs w:val="22"/>
          </w:rPr>
          <w:tab/>
        </w:r>
        <w:r w:rsidR="00987A70" w:rsidRPr="00337B3E">
          <w:rPr>
            <w:rStyle w:val="Hyperlink"/>
            <w:noProof/>
          </w:rPr>
          <w:t>Gesamtbetrachtung und Maßnahmen</w:t>
        </w:r>
        <w:r w:rsidR="00987A70">
          <w:rPr>
            <w:noProof/>
            <w:webHidden/>
          </w:rPr>
          <w:tab/>
        </w:r>
        <w:r w:rsidR="00987A70">
          <w:rPr>
            <w:noProof/>
            <w:webHidden/>
          </w:rPr>
          <w:fldChar w:fldCharType="begin"/>
        </w:r>
        <w:r w:rsidR="00987A70">
          <w:rPr>
            <w:noProof/>
            <w:webHidden/>
          </w:rPr>
          <w:instrText xml:space="preserve"> PAGEREF _Toc28008504 \h </w:instrText>
        </w:r>
        <w:r w:rsidR="00987A70">
          <w:rPr>
            <w:noProof/>
            <w:webHidden/>
          </w:rPr>
        </w:r>
        <w:r w:rsidR="00987A70">
          <w:rPr>
            <w:noProof/>
            <w:webHidden/>
          </w:rPr>
          <w:fldChar w:fldCharType="separate"/>
        </w:r>
        <w:r w:rsidR="00987A70">
          <w:rPr>
            <w:noProof/>
            <w:webHidden/>
          </w:rPr>
          <w:t>12</w:t>
        </w:r>
        <w:r w:rsidR="00987A70">
          <w:rPr>
            <w:noProof/>
            <w:webHidden/>
          </w:rPr>
          <w:fldChar w:fldCharType="end"/>
        </w:r>
      </w:hyperlink>
    </w:p>
    <w:p w14:paraId="10D2019F" w14:textId="03C418A3" w:rsidR="00987A70" w:rsidRDefault="008D761F">
      <w:pPr>
        <w:pStyle w:val="Verzeichnis3"/>
        <w:tabs>
          <w:tab w:val="left" w:pos="1701"/>
        </w:tabs>
        <w:rPr>
          <w:rFonts w:eastAsiaTheme="minorEastAsia" w:cstheme="minorBidi"/>
          <w:noProof/>
          <w:sz w:val="22"/>
          <w:szCs w:val="22"/>
        </w:rPr>
      </w:pPr>
      <w:hyperlink w:anchor="_Toc28008505"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 xml:space="preserve">Beachtung der </w:t>
        </w:r>
        <w:r w:rsidR="00987A70" w:rsidRPr="00337B3E">
          <w:rPr>
            <w:rStyle w:val="Hyperlink"/>
            <w:i/>
            <w:noProof/>
          </w:rPr>
          <w:t xml:space="preserve">Beispielsfrau &amp; Mustermann </w:t>
        </w:r>
        <w:r w:rsidR="00987A70" w:rsidRPr="00337B3E">
          <w:rPr>
            <w:rStyle w:val="Hyperlink"/>
            <w:noProof/>
          </w:rPr>
          <w:t>Geldwäscherichtlinie</w:t>
        </w:r>
        <w:r w:rsidR="00987A70">
          <w:rPr>
            <w:noProof/>
            <w:webHidden/>
          </w:rPr>
          <w:tab/>
        </w:r>
        <w:r w:rsidR="00987A70">
          <w:rPr>
            <w:noProof/>
            <w:webHidden/>
          </w:rPr>
          <w:fldChar w:fldCharType="begin"/>
        </w:r>
        <w:r w:rsidR="00987A70">
          <w:rPr>
            <w:noProof/>
            <w:webHidden/>
          </w:rPr>
          <w:instrText xml:space="preserve"> PAGEREF _Toc28008505 \h </w:instrText>
        </w:r>
        <w:r w:rsidR="00987A70">
          <w:rPr>
            <w:noProof/>
            <w:webHidden/>
          </w:rPr>
        </w:r>
        <w:r w:rsidR="00987A70">
          <w:rPr>
            <w:noProof/>
            <w:webHidden/>
          </w:rPr>
          <w:fldChar w:fldCharType="separate"/>
        </w:r>
        <w:r w:rsidR="00987A70">
          <w:rPr>
            <w:noProof/>
            <w:webHidden/>
          </w:rPr>
          <w:t>13</w:t>
        </w:r>
        <w:r w:rsidR="00987A70">
          <w:rPr>
            <w:noProof/>
            <w:webHidden/>
          </w:rPr>
          <w:fldChar w:fldCharType="end"/>
        </w:r>
      </w:hyperlink>
    </w:p>
    <w:p w14:paraId="6394F0AC" w14:textId="4B6B6DB5" w:rsidR="00987A70" w:rsidRDefault="008D761F">
      <w:pPr>
        <w:pStyle w:val="Verzeichnis3"/>
        <w:tabs>
          <w:tab w:val="left" w:pos="1701"/>
        </w:tabs>
        <w:rPr>
          <w:rFonts w:eastAsiaTheme="minorEastAsia" w:cstheme="minorBidi"/>
          <w:noProof/>
          <w:sz w:val="22"/>
          <w:szCs w:val="22"/>
        </w:rPr>
      </w:pPr>
      <w:hyperlink w:anchor="_Toc28008506" w:history="1">
        <w:r w:rsidR="00987A70" w:rsidRPr="00337B3E">
          <w:rPr>
            <w:rStyle w:val="Hyperlink"/>
            <w:noProof/>
          </w:rPr>
          <w:t>2.</w:t>
        </w:r>
        <w:r w:rsidR="00987A70">
          <w:rPr>
            <w:rFonts w:eastAsiaTheme="minorEastAsia" w:cstheme="minorBidi"/>
            <w:noProof/>
            <w:sz w:val="22"/>
            <w:szCs w:val="22"/>
          </w:rPr>
          <w:tab/>
        </w:r>
        <w:r w:rsidR="00987A70" w:rsidRPr="00337B3E">
          <w:rPr>
            <w:rStyle w:val="Hyperlink"/>
            <w:noProof/>
          </w:rPr>
          <w:t>Überprüfung bei jedem neuen Mandat</w:t>
        </w:r>
        <w:r w:rsidR="00987A70">
          <w:rPr>
            <w:noProof/>
            <w:webHidden/>
          </w:rPr>
          <w:tab/>
        </w:r>
        <w:r w:rsidR="00987A70">
          <w:rPr>
            <w:noProof/>
            <w:webHidden/>
          </w:rPr>
          <w:fldChar w:fldCharType="begin"/>
        </w:r>
        <w:r w:rsidR="00987A70">
          <w:rPr>
            <w:noProof/>
            <w:webHidden/>
          </w:rPr>
          <w:instrText xml:space="preserve"> PAGEREF _Toc28008506 \h </w:instrText>
        </w:r>
        <w:r w:rsidR="00987A70">
          <w:rPr>
            <w:noProof/>
            <w:webHidden/>
          </w:rPr>
        </w:r>
        <w:r w:rsidR="00987A70">
          <w:rPr>
            <w:noProof/>
            <w:webHidden/>
          </w:rPr>
          <w:fldChar w:fldCharType="separate"/>
        </w:r>
        <w:r w:rsidR="00987A70">
          <w:rPr>
            <w:noProof/>
            <w:webHidden/>
          </w:rPr>
          <w:t>13</w:t>
        </w:r>
        <w:r w:rsidR="00987A70">
          <w:rPr>
            <w:noProof/>
            <w:webHidden/>
          </w:rPr>
          <w:fldChar w:fldCharType="end"/>
        </w:r>
      </w:hyperlink>
    </w:p>
    <w:p w14:paraId="63E1F45D" w14:textId="1EAB6E92" w:rsidR="00987A70" w:rsidRDefault="008D761F">
      <w:pPr>
        <w:pStyle w:val="Verzeichnis3"/>
        <w:tabs>
          <w:tab w:val="left" w:pos="1701"/>
        </w:tabs>
        <w:rPr>
          <w:rFonts w:eastAsiaTheme="minorEastAsia" w:cstheme="minorBidi"/>
          <w:noProof/>
          <w:sz w:val="22"/>
          <w:szCs w:val="22"/>
        </w:rPr>
      </w:pPr>
      <w:hyperlink w:anchor="_Toc28008507" w:history="1">
        <w:r w:rsidR="00987A70" w:rsidRPr="00337B3E">
          <w:rPr>
            <w:rStyle w:val="Hyperlink"/>
            <w:noProof/>
          </w:rPr>
          <w:t>3.</w:t>
        </w:r>
        <w:r w:rsidR="00987A70">
          <w:rPr>
            <w:rFonts w:eastAsiaTheme="minorEastAsia" w:cstheme="minorBidi"/>
            <w:noProof/>
            <w:sz w:val="22"/>
            <w:szCs w:val="22"/>
          </w:rPr>
          <w:tab/>
        </w:r>
        <w:r w:rsidR="00987A70" w:rsidRPr="00337B3E">
          <w:rPr>
            <w:rStyle w:val="Hyperlink"/>
            <w:noProof/>
          </w:rPr>
          <w:t>Bestellung eines Geldwäschebeauftragten incl. Stellvertreter</w:t>
        </w:r>
        <w:r w:rsidR="00987A70">
          <w:rPr>
            <w:noProof/>
            <w:webHidden/>
          </w:rPr>
          <w:tab/>
        </w:r>
        <w:r w:rsidR="00987A70">
          <w:rPr>
            <w:noProof/>
            <w:webHidden/>
          </w:rPr>
          <w:fldChar w:fldCharType="begin"/>
        </w:r>
        <w:r w:rsidR="00987A70">
          <w:rPr>
            <w:noProof/>
            <w:webHidden/>
          </w:rPr>
          <w:instrText xml:space="preserve"> PAGEREF _Toc28008507 \h </w:instrText>
        </w:r>
        <w:r w:rsidR="00987A70">
          <w:rPr>
            <w:noProof/>
            <w:webHidden/>
          </w:rPr>
        </w:r>
        <w:r w:rsidR="00987A70">
          <w:rPr>
            <w:noProof/>
            <w:webHidden/>
          </w:rPr>
          <w:fldChar w:fldCharType="separate"/>
        </w:r>
        <w:r w:rsidR="00987A70">
          <w:rPr>
            <w:noProof/>
            <w:webHidden/>
          </w:rPr>
          <w:t>13</w:t>
        </w:r>
        <w:r w:rsidR="00987A70">
          <w:rPr>
            <w:noProof/>
            <w:webHidden/>
          </w:rPr>
          <w:fldChar w:fldCharType="end"/>
        </w:r>
      </w:hyperlink>
    </w:p>
    <w:p w14:paraId="6E68739E" w14:textId="479C656E" w:rsidR="00987A70" w:rsidRDefault="008D761F">
      <w:pPr>
        <w:pStyle w:val="Verzeichnis3"/>
        <w:tabs>
          <w:tab w:val="left" w:pos="1701"/>
        </w:tabs>
        <w:rPr>
          <w:rFonts w:eastAsiaTheme="minorEastAsia" w:cstheme="minorBidi"/>
          <w:noProof/>
          <w:sz w:val="22"/>
          <w:szCs w:val="22"/>
        </w:rPr>
      </w:pPr>
      <w:hyperlink w:anchor="_Toc28008508" w:history="1">
        <w:r w:rsidR="00987A70" w:rsidRPr="00337B3E">
          <w:rPr>
            <w:rStyle w:val="Hyperlink"/>
            <w:noProof/>
          </w:rPr>
          <w:t>4.</w:t>
        </w:r>
        <w:r w:rsidR="00987A70">
          <w:rPr>
            <w:rFonts w:eastAsiaTheme="minorEastAsia" w:cstheme="minorBidi"/>
            <w:noProof/>
            <w:sz w:val="22"/>
            <w:szCs w:val="22"/>
          </w:rPr>
          <w:tab/>
        </w:r>
        <w:r w:rsidR="00987A70" w:rsidRPr="00337B3E">
          <w:rPr>
            <w:rStyle w:val="Hyperlink"/>
            <w:noProof/>
          </w:rPr>
          <w:t>Zuverlässigkeitsprüfung Mitarbeiter</w:t>
        </w:r>
        <w:r w:rsidR="00987A70">
          <w:rPr>
            <w:noProof/>
            <w:webHidden/>
          </w:rPr>
          <w:tab/>
        </w:r>
        <w:r w:rsidR="00987A70">
          <w:rPr>
            <w:noProof/>
            <w:webHidden/>
          </w:rPr>
          <w:fldChar w:fldCharType="begin"/>
        </w:r>
        <w:r w:rsidR="00987A70">
          <w:rPr>
            <w:noProof/>
            <w:webHidden/>
          </w:rPr>
          <w:instrText xml:space="preserve"> PAGEREF _Toc28008508 \h </w:instrText>
        </w:r>
        <w:r w:rsidR="00987A70">
          <w:rPr>
            <w:noProof/>
            <w:webHidden/>
          </w:rPr>
        </w:r>
        <w:r w:rsidR="00987A70">
          <w:rPr>
            <w:noProof/>
            <w:webHidden/>
          </w:rPr>
          <w:fldChar w:fldCharType="separate"/>
        </w:r>
        <w:r w:rsidR="00987A70">
          <w:rPr>
            <w:noProof/>
            <w:webHidden/>
          </w:rPr>
          <w:t>13</w:t>
        </w:r>
        <w:r w:rsidR="00987A70">
          <w:rPr>
            <w:noProof/>
            <w:webHidden/>
          </w:rPr>
          <w:fldChar w:fldCharType="end"/>
        </w:r>
      </w:hyperlink>
    </w:p>
    <w:p w14:paraId="38285A74" w14:textId="67D90E06" w:rsidR="00987A70" w:rsidRDefault="008D761F">
      <w:pPr>
        <w:pStyle w:val="Verzeichnis3"/>
        <w:tabs>
          <w:tab w:val="left" w:pos="1701"/>
        </w:tabs>
        <w:rPr>
          <w:rFonts w:eastAsiaTheme="minorEastAsia" w:cstheme="minorBidi"/>
          <w:noProof/>
          <w:sz w:val="22"/>
          <w:szCs w:val="22"/>
        </w:rPr>
      </w:pPr>
      <w:hyperlink w:anchor="_Toc28008509" w:history="1">
        <w:r w:rsidR="00987A70" w:rsidRPr="00337B3E">
          <w:rPr>
            <w:rStyle w:val="Hyperlink"/>
            <w:noProof/>
          </w:rPr>
          <w:t>5.</w:t>
        </w:r>
        <w:r w:rsidR="00987A70">
          <w:rPr>
            <w:rFonts w:eastAsiaTheme="minorEastAsia" w:cstheme="minorBidi"/>
            <w:noProof/>
            <w:sz w:val="22"/>
            <w:szCs w:val="22"/>
          </w:rPr>
          <w:tab/>
        </w:r>
        <w:r w:rsidR="00987A70" w:rsidRPr="00337B3E">
          <w:rPr>
            <w:rStyle w:val="Hyperlink"/>
            <w:noProof/>
          </w:rPr>
          <w:t>Jährliche Unterrichtung zum Thema Geldwäsche</w:t>
        </w:r>
        <w:r w:rsidR="00987A70">
          <w:rPr>
            <w:noProof/>
            <w:webHidden/>
          </w:rPr>
          <w:tab/>
        </w:r>
        <w:r w:rsidR="00987A70">
          <w:rPr>
            <w:noProof/>
            <w:webHidden/>
          </w:rPr>
          <w:fldChar w:fldCharType="begin"/>
        </w:r>
        <w:r w:rsidR="00987A70">
          <w:rPr>
            <w:noProof/>
            <w:webHidden/>
          </w:rPr>
          <w:instrText xml:space="preserve"> PAGEREF _Toc28008509 \h </w:instrText>
        </w:r>
        <w:r w:rsidR="00987A70">
          <w:rPr>
            <w:noProof/>
            <w:webHidden/>
          </w:rPr>
        </w:r>
        <w:r w:rsidR="00987A70">
          <w:rPr>
            <w:noProof/>
            <w:webHidden/>
          </w:rPr>
          <w:fldChar w:fldCharType="separate"/>
        </w:r>
        <w:r w:rsidR="00987A70">
          <w:rPr>
            <w:noProof/>
            <w:webHidden/>
          </w:rPr>
          <w:t>13</w:t>
        </w:r>
        <w:r w:rsidR="00987A70">
          <w:rPr>
            <w:noProof/>
            <w:webHidden/>
          </w:rPr>
          <w:fldChar w:fldCharType="end"/>
        </w:r>
      </w:hyperlink>
    </w:p>
    <w:p w14:paraId="7F22D6E6" w14:textId="25669E59" w:rsidR="00987A70" w:rsidRDefault="008D761F">
      <w:pPr>
        <w:pStyle w:val="Verzeichnis3"/>
        <w:tabs>
          <w:tab w:val="left" w:pos="1701"/>
        </w:tabs>
        <w:rPr>
          <w:rFonts w:eastAsiaTheme="minorEastAsia" w:cstheme="minorBidi"/>
          <w:noProof/>
          <w:sz w:val="22"/>
          <w:szCs w:val="22"/>
        </w:rPr>
      </w:pPr>
      <w:hyperlink w:anchor="_Toc28008510" w:history="1">
        <w:r w:rsidR="00987A70" w:rsidRPr="00337B3E">
          <w:rPr>
            <w:rStyle w:val="Hyperlink"/>
            <w:noProof/>
          </w:rPr>
          <w:t>6.</w:t>
        </w:r>
        <w:r w:rsidR="00987A70">
          <w:rPr>
            <w:rFonts w:eastAsiaTheme="minorEastAsia" w:cstheme="minorBidi"/>
            <w:noProof/>
            <w:sz w:val="22"/>
            <w:szCs w:val="22"/>
          </w:rPr>
          <w:tab/>
        </w:r>
        <w:r w:rsidR="00987A70" w:rsidRPr="00337B3E">
          <w:rPr>
            <w:rStyle w:val="Hyperlink"/>
            <w:noProof/>
          </w:rPr>
          <w:t>Jährliche Überprüfung dieser Risikoanalyse</w:t>
        </w:r>
        <w:r w:rsidR="00987A70">
          <w:rPr>
            <w:noProof/>
            <w:webHidden/>
          </w:rPr>
          <w:tab/>
        </w:r>
        <w:r w:rsidR="00987A70">
          <w:rPr>
            <w:noProof/>
            <w:webHidden/>
          </w:rPr>
          <w:fldChar w:fldCharType="begin"/>
        </w:r>
        <w:r w:rsidR="00987A70">
          <w:rPr>
            <w:noProof/>
            <w:webHidden/>
          </w:rPr>
          <w:instrText xml:space="preserve"> PAGEREF _Toc28008510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769B2FAF" w14:textId="6337B93C" w:rsidR="00987A70" w:rsidRDefault="008D761F">
      <w:pPr>
        <w:pStyle w:val="Verzeichnis3"/>
        <w:tabs>
          <w:tab w:val="left" w:pos="1701"/>
        </w:tabs>
        <w:rPr>
          <w:rFonts w:eastAsiaTheme="minorEastAsia" w:cstheme="minorBidi"/>
          <w:noProof/>
          <w:sz w:val="22"/>
          <w:szCs w:val="22"/>
        </w:rPr>
      </w:pPr>
      <w:hyperlink w:anchor="_Toc28008511" w:history="1">
        <w:r w:rsidR="00987A70" w:rsidRPr="00337B3E">
          <w:rPr>
            <w:rStyle w:val="Hyperlink"/>
            <w:noProof/>
          </w:rPr>
          <w:t>7.</w:t>
        </w:r>
        <w:r w:rsidR="00987A70">
          <w:rPr>
            <w:rFonts w:eastAsiaTheme="minorEastAsia" w:cstheme="minorBidi"/>
            <w:noProof/>
            <w:sz w:val="22"/>
            <w:szCs w:val="22"/>
          </w:rPr>
          <w:tab/>
        </w:r>
        <w:r w:rsidR="00987A70" w:rsidRPr="00337B3E">
          <w:rPr>
            <w:rStyle w:val="Hyperlink"/>
            <w:noProof/>
          </w:rPr>
          <w:t>Unabhängige Überprüfung der Grundsätze</w:t>
        </w:r>
        <w:r w:rsidR="00987A70">
          <w:rPr>
            <w:noProof/>
            <w:webHidden/>
          </w:rPr>
          <w:tab/>
        </w:r>
        <w:r w:rsidR="00987A70">
          <w:rPr>
            <w:noProof/>
            <w:webHidden/>
          </w:rPr>
          <w:fldChar w:fldCharType="begin"/>
        </w:r>
        <w:r w:rsidR="00987A70">
          <w:rPr>
            <w:noProof/>
            <w:webHidden/>
          </w:rPr>
          <w:instrText xml:space="preserve"> PAGEREF _Toc28008511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3A814FC6" w14:textId="511B8C27" w:rsidR="00987A70" w:rsidRDefault="008D761F">
      <w:pPr>
        <w:pStyle w:val="Verzeichnis3"/>
        <w:tabs>
          <w:tab w:val="left" w:pos="1701"/>
        </w:tabs>
        <w:rPr>
          <w:rFonts w:eastAsiaTheme="minorEastAsia" w:cstheme="minorBidi"/>
          <w:noProof/>
          <w:sz w:val="22"/>
          <w:szCs w:val="22"/>
        </w:rPr>
      </w:pPr>
      <w:hyperlink w:anchor="_Toc28008512" w:history="1">
        <w:r w:rsidR="00987A70" w:rsidRPr="00337B3E">
          <w:rPr>
            <w:rStyle w:val="Hyperlink"/>
            <w:noProof/>
          </w:rPr>
          <w:t>8.</w:t>
        </w:r>
        <w:r w:rsidR="00987A70">
          <w:rPr>
            <w:rFonts w:eastAsiaTheme="minorEastAsia" w:cstheme="minorBidi"/>
            <w:noProof/>
            <w:sz w:val="22"/>
            <w:szCs w:val="22"/>
          </w:rPr>
          <w:tab/>
        </w:r>
        <w:r w:rsidR="00987A70" w:rsidRPr="00337B3E">
          <w:rPr>
            <w:rStyle w:val="Hyperlink"/>
            <w:noProof/>
          </w:rPr>
          <w:t>Meldepflichten</w:t>
        </w:r>
        <w:r w:rsidR="00987A70">
          <w:rPr>
            <w:noProof/>
            <w:webHidden/>
          </w:rPr>
          <w:tab/>
        </w:r>
        <w:r w:rsidR="00987A70">
          <w:rPr>
            <w:noProof/>
            <w:webHidden/>
          </w:rPr>
          <w:fldChar w:fldCharType="begin"/>
        </w:r>
        <w:r w:rsidR="00987A70">
          <w:rPr>
            <w:noProof/>
            <w:webHidden/>
          </w:rPr>
          <w:instrText xml:space="preserve"> PAGEREF _Toc28008512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0DDE3ADF" w14:textId="2DB30F4D" w:rsidR="00987A70" w:rsidRDefault="008D761F">
      <w:pPr>
        <w:pStyle w:val="Verzeichnis3"/>
        <w:tabs>
          <w:tab w:val="left" w:pos="1701"/>
        </w:tabs>
        <w:rPr>
          <w:rFonts w:eastAsiaTheme="minorEastAsia" w:cstheme="minorBidi"/>
          <w:noProof/>
          <w:sz w:val="22"/>
          <w:szCs w:val="22"/>
        </w:rPr>
      </w:pPr>
      <w:hyperlink w:anchor="_Toc28008513" w:history="1">
        <w:r w:rsidR="00987A70" w:rsidRPr="00337B3E">
          <w:rPr>
            <w:rStyle w:val="Hyperlink"/>
            <w:noProof/>
          </w:rPr>
          <w:t>9.</w:t>
        </w:r>
        <w:r w:rsidR="00987A70">
          <w:rPr>
            <w:rFonts w:eastAsiaTheme="minorEastAsia" w:cstheme="minorBidi"/>
            <w:noProof/>
            <w:sz w:val="22"/>
            <w:szCs w:val="22"/>
          </w:rPr>
          <w:tab/>
        </w:r>
        <w:r w:rsidR="00987A70" w:rsidRPr="00337B3E">
          <w:rPr>
            <w:rStyle w:val="Hyperlink"/>
            <w:noProof/>
          </w:rPr>
          <w:t>Aufzeichnungs- und Aufbewahrungspflichten</w:t>
        </w:r>
        <w:r w:rsidR="00987A70">
          <w:rPr>
            <w:noProof/>
            <w:webHidden/>
          </w:rPr>
          <w:tab/>
        </w:r>
        <w:r w:rsidR="00987A70">
          <w:rPr>
            <w:noProof/>
            <w:webHidden/>
          </w:rPr>
          <w:fldChar w:fldCharType="begin"/>
        </w:r>
        <w:r w:rsidR="00987A70">
          <w:rPr>
            <w:noProof/>
            <w:webHidden/>
          </w:rPr>
          <w:instrText xml:space="preserve"> PAGEREF _Toc28008513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21852B9F" w14:textId="64AB518E" w:rsidR="00987A70" w:rsidRDefault="008D761F">
      <w:pPr>
        <w:pStyle w:val="Verzeichnis3"/>
        <w:tabs>
          <w:tab w:val="left" w:pos="1701"/>
        </w:tabs>
        <w:rPr>
          <w:rFonts w:eastAsiaTheme="minorEastAsia" w:cstheme="minorBidi"/>
          <w:noProof/>
          <w:sz w:val="22"/>
          <w:szCs w:val="22"/>
        </w:rPr>
      </w:pPr>
      <w:hyperlink w:anchor="_Toc28008514" w:history="1">
        <w:r w:rsidR="00987A70" w:rsidRPr="00337B3E">
          <w:rPr>
            <w:rStyle w:val="Hyperlink"/>
            <w:noProof/>
          </w:rPr>
          <w:t>10.</w:t>
        </w:r>
        <w:r w:rsidR="00987A70">
          <w:rPr>
            <w:rFonts w:eastAsiaTheme="minorEastAsia" w:cstheme="minorBidi"/>
            <w:noProof/>
            <w:sz w:val="22"/>
            <w:szCs w:val="22"/>
          </w:rPr>
          <w:tab/>
        </w:r>
        <w:r w:rsidR="00987A70" w:rsidRPr="00337B3E">
          <w:rPr>
            <w:rStyle w:val="Hyperlink"/>
            <w:noProof/>
          </w:rPr>
          <w:t>Meldestelle bei Verstößen</w:t>
        </w:r>
        <w:r w:rsidR="00987A70">
          <w:rPr>
            <w:noProof/>
            <w:webHidden/>
          </w:rPr>
          <w:tab/>
        </w:r>
        <w:r w:rsidR="00987A70">
          <w:rPr>
            <w:noProof/>
            <w:webHidden/>
          </w:rPr>
          <w:fldChar w:fldCharType="begin"/>
        </w:r>
        <w:r w:rsidR="00987A70">
          <w:rPr>
            <w:noProof/>
            <w:webHidden/>
          </w:rPr>
          <w:instrText xml:space="preserve"> PAGEREF _Toc28008514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0CE7257E" w14:textId="277ED768" w:rsidR="00987A70" w:rsidRDefault="008D761F">
      <w:pPr>
        <w:pStyle w:val="Verzeichnis2"/>
        <w:tabs>
          <w:tab w:val="left" w:pos="1134"/>
        </w:tabs>
        <w:rPr>
          <w:rFonts w:eastAsiaTheme="minorEastAsia" w:cstheme="minorBidi"/>
          <w:noProof/>
          <w:sz w:val="22"/>
          <w:szCs w:val="22"/>
        </w:rPr>
      </w:pPr>
      <w:hyperlink w:anchor="_Toc28008515" w:history="1">
        <w:r w:rsidR="00987A70" w:rsidRPr="00337B3E">
          <w:rPr>
            <w:rStyle w:val="Hyperlink"/>
            <w:noProof/>
          </w:rPr>
          <w:t>V.</w:t>
        </w:r>
        <w:r w:rsidR="00987A70">
          <w:rPr>
            <w:rFonts w:eastAsiaTheme="minorEastAsia" w:cstheme="minorBidi"/>
            <w:noProof/>
            <w:sz w:val="22"/>
            <w:szCs w:val="22"/>
          </w:rPr>
          <w:tab/>
        </w:r>
        <w:r w:rsidR="00987A70" w:rsidRPr="00337B3E">
          <w:rPr>
            <w:rStyle w:val="Hyperlink"/>
            <w:noProof/>
          </w:rPr>
          <w:t>Ansprechpartner / Geldwäschebeauftragter</w:t>
        </w:r>
        <w:r w:rsidR="00987A70">
          <w:rPr>
            <w:noProof/>
            <w:webHidden/>
          </w:rPr>
          <w:tab/>
        </w:r>
        <w:r w:rsidR="00987A70">
          <w:rPr>
            <w:noProof/>
            <w:webHidden/>
          </w:rPr>
          <w:fldChar w:fldCharType="begin"/>
        </w:r>
        <w:r w:rsidR="00987A70">
          <w:rPr>
            <w:noProof/>
            <w:webHidden/>
          </w:rPr>
          <w:instrText xml:space="preserve"> PAGEREF _Toc28008515 \h </w:instrText>
        </w:r>
        <w:r w:rsidR="00987A70">
          <w:rPr>
            <w:noProof/>
            <w:webHidden/>
          </w:rPr>
        </w:r>
        <w:r w:rsidR="00987A70">
          <w:rPr>
            <w:noProof/>
            <w:webHidden/>
          </w:rPr>
          <w:fldChar w:fldCharType="separate"/>
        </w:r>
        <w:r w:rsidR="00987A70">
          <w:rPr>
            <w:noProof/>
            <w:webHidden/>
          </w:rPr>
          <w:t>14</w:t>
        </w:r>
        <w:r w:rsidR="00987A70">
          <w:rPr>
            <w:noProof/>
            <w:webHidden/>
          </w:rPr>
          <w:fldChar w:fldCharType="end"/>
        </w:r>
      </w:hyperlink>
    </w:p>
    <w:p w14:paraId="56674862" w14:textId="6D52E8B3" w:rsidR="00AF4A98" w:rsidRPr="00531E5F" w:rsidRDefault="00AF4A98" w:rsidP="00362032">
      <w:pPr>
        <w:spacing w:after="200" w:line="360" w:lineRule="auto"/>
        <w:jc w:val="both"/>
      </w:pPr>
      <w:r w:rsidRPr="00531E5F">
        <w:fldChar w:fldCharType="end"/>
      </w:r>
    </w:p>
    <w:p w14:paraId="5350AE84" w14:textId="77777777" w:rsidR="00AF4A98" w:rsidRPr="00522144" w:rsidRDefault="00AF4A98" w:rsidP="005B5A00">
      <w:pPr>
        <w:spacing w:after="120"/>
        <w:jc w:val="both"/>
      </w:pPr>
    </w:p>
    <w:p w14:paraId="5943F2C4" w14:textId="77777777" w:rsidR="00522144" w:rsidRDefault="00522144" w:rsidP="005B5A00">
      <w:pPr>
        <w:suppressAutoHyphens w:val="0"/>
        <w:adjustRightInd/>
        <w:snapToGrid/>
        <w:jc w:val="both"/>
      </w:pPr>
      <w:r>
        <w:br w:type="page"/>
      </w:r>
    </w:p>
    <w:p w14:paraId="1EC529DD" w14:textId="77EDB4AA" w:rsidR="00B5426C" w:rsidRDefault="002A04AD" w:rsidP="005B5A00">
      <w:pPr>
        <w:pStyle w:val="CMSHeading2"/>
        <w:jc w:val="both"/>
        <w:rPr>
          <w:color w:val="002060"/>
          <w:sz w:val="28"/>
          <w:szCs w:val="28"/>
        </w:rPr>
      </w:pPr>
      <w:bookmarkStart w:id="1" w:name="_Toc28008491"/>
      <w:r>
        <w:rPr>
          <w:color w:val="002060"/>
          <w:sz w:val="28"/>
          <w:szCs w:val="28"/>
        </w:rPr>
        <w:lastRenderedPageBreak/>
        <w:t>Rechtsgrundlage</w:t>
      </w:r>
      <w:bookmarkEnd w:id="1"/>
    </w:p>
    <w:p w14:paraId="6935989F" w14:textId="77777777" w:rsidR="001B2F6B" w:rsidRPr="009D6402" w:rsidRDefault="001B2F6B" w:rsidP="005B5A00">
      <w:pPr>
        <w:pStyle w:val="CMSIndent2"/>
        <w:jc w:val="both"/>
      </w:pPr>
    </w:p>
    <w:p w14:paraId="05334712" w14:textId="77777777" w:rsidR="002C4DA1" w:rsidRDefault="00E7182E" w:rsidP="000005B9">
      <w:pPr>
        <w:pStyle w:val="CMSIndent2"/>
        <w:spacing w:after="120"/>
        <w:ind w:left="567"/>
        <w:jc w:val="both"/>
      </w:pPr>
      <w:r>
        <w:t>Ausgangspunkt ist die Richtlinie (EU) 2015/849 des Europä</w:t>
      </w:r>
      <w:r w:rsidR="002C4DA1">
        <w:t xml:space="preserve">ischen Parlaments und des Rates </w:t>
      </w:r>
      <w:r>
        <w:t>vom 20.05.2015 zur Verhinderung der Nutzung d</w:t>
      </w:r>
      <w:r w:rsidR="002C4DA1">
        <w:t xml:space="preserve">es Finanzsystems zum Zwecke der </w:t>
      </w:r>
      <w:r>
        <w:t>Geldwäsche und der Terrorismusfinanzierung, zur Ä</w:t>
      </w:r>
      <w:r w:rsidR="002C4DA1">
        <w:t xml:space="preserve">nderung der Verordnung (EU) Nr. </w:t>
      </w:r>
      <w:r>
        <w:t>648/2012 des Europäischen Parlaments und des Rates u</w:t>
      </w:r>
      <w:r w:rsidR="002C4DA1">
        <w:t xml:space="preserve">nd zur Aufhebung der Richtlinie </w:t>
      </w:r>
      <w:r>
        <w:t>2005/60/EG des Europäischen Parlaments und des Rates un</w:t>
      </w:r>
      <w:r w:rsidR="002C4DA1">
        <w:t xml:space="preserve">d der Richtlinie 2006/70/EG der </w:t>
      </w:r>
      <w:r>
        <w:t>Kommission, ABl L 141/114 vom 05.06.2015 (nachfo</w:t>
      </w:r>
      <w:r w:rsidR="002C4DA1">
        <w:t xml:space="preserve">lgend kurz „4. GW-RL“) samt den Anhängen I bis III. </w:t>
      </w:r>
    </w:p>
    <w:p w14:paraId="2DAD8870" w14:textId="7AC14277" w:rsidR="00E7182E" w:rsidRDefault="00E7182E" w:rsidP="002E09A2">
      <w:pPr>
        <w:pStyle w:val="CMSIndent2"/>
        <w:spacing w:after="120"/>
        <w:ind w:left="567"/>
        <w:jc w:val="both"/>
      </w:pPr>
      <w:r>
        <w:t xml:space="preserve">Artikel 8 Abs 1 der 4. GW-RL verpflichtet die Mitgliedstaaten dafür </w:t>
      </w:r>
      <w:r w:rsidR="009147F0">
        <w:t xml:space="preserve">zu </w:t>
      </w:r>
      <w:r>
        <w:t>sorgen, dass di</w:t>
      </w:r>
      <w:r w:rsidR="002C4DA1">
        <w:t xml:space="preserve">e </w:t>
      </w:r>
      <w:r>
        <w:t>Verpflichteten (wozu nach Artikel 2 Abs (1) Z 3 lit</w:t>
      </w:r>
      <w:r w:rsidR="002C4DA1">
        <w:t xml:space="preserve">. b) auch </w:t>
      </w:r>
      <w:r w:rsidR="007E0C76">
        <w:t>Rechtsanwälte</w:t>
      </w:r>
      <w:r w:rsidR="002C4DA1">
        <w:t xml:space="preserve"> zählen) </w:t>
      </w:r>
      <w:r>
        <w:t>angemessene Schritte unternehmen, um die für sie bes</w:t>
      </w:r>
      <w:r w:rsidR="002C4DA1">
        <w:t xml:space="preserve">tehenden Risiken der Geldwäsche </w:t>
      </w:r>
      <w:r>
        <w:t>und Terrorismusfinanzierung unter Berücksichtigung von Risikofaktoren, einschließlich i</w:t>
      </w:r>
      <w:r w:rsidR="002C4DA1">
        <w:t xml:space="preserve">n </w:t>
      </w:r>
      <w:r>
        <w:t>Bezug auf ihre Kunden, Länder oder geografische Gebie</w:t>
      </w:r>
      <w:r w:rsidR="002C4DA1">
        <w:t xml:space="preserve">te, Produkte, Dienstleistungen, </w:t>
      </w:r>
      <w:r>
        <w:t>Transaktionen oder Vertriebskanäle zu ermitteln und zu bew</w:t>
      </w:r>
      <w:r w:rsidR="002C4DA1">
        <w:t xml:space="preserve">erten. </w:t>
      </w:r>
    </w:p>
    <w:p w14:paraId="31AD43DD" w14:textId="2C6C3549" w:rsidR="00D93E5D" w:rsidRDefault="0041303E" w:rsidP="006F1C5F">
      <w:pPr>
        <w:pStyle w:val="CMSIndent2"/>
        <w:spacing w:after="120"/>
        <w:ind w:left="567"/>
        <w:jc w:val="both"/>
      </w:pPr>
      <w:r>
        <w:t>§ 5 des Gesetzes über das Aufspüren von Gewinnen aus schweren Straftaten – Geldwäschegesetz (GwG)</w:t>
      </w:r>
      <w:r w:rsidR="00E7182E">
        <w:t xml:space="preserve"> lautet:</w:t>
      </w:r>
    </w:p>
    <w:p w14:paraId="5F114D8D" w14:textId="77777777" w:rsidR="00D93E5D" w:rsidRDefault="00D93E5D" w:rsidP="006F1C5F">
      <w:pPr>
        <w:pStyle w:val="CMSIndent2"/>
        <w:spacing w:after="120"/>
        <w:ind w:left="567"/>
        <w:jc w:val="both"/>
      </w:pPr>
    </w:p>
    <w:p w14:paraId="6372E0FC" w14:textId="4046B84B" w:rsidR="002C4DA1" w:rsidRPr="006F1C5F" w:rsidRDefault="00AC6DEA" w:rsidP="006F1C5F">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492E02EE" w14:textId="77777777" w:rsidR="002C4DA1" w:rsidRDefault="002C4DA1" w:rsidP="006F1C5F">
      <w:pPr>
        <w:pStyle w:val="CMSIndent2"/>
        <w:spacing w:after="120"/>
        <w:ind w:left="567"/>
        <w:jc w:val="both"/>
      </w:pPr>
    </w:p>
    <w:p w14:paraId="3CB0348E" w14:textId="18DC7628" w:rsidR="00227BF6" w:rsidRDefault="007E0207" w:rsidP="006F1C5F">
      <w:pPr>
        <w:pStyle w:val="CMSIndent2"/>
        <w:spacing w:after="120"/>
        <w:ind w:left="567"/>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14:paraId="5A6BE641" w14:textId="43FC1E08" w:rsidR="003F206B" w:rsidRDefault="00156957" w:rsidP="006F1C5F">
      <w:pPr>
        <w:pStyle w:val="CMSIndent2"/>
        <w:spacing w:after="120"/>
        <w:ind w:left="567"/>
        <w:jc w:val="both"/>
      </w:pP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sidR="00180621">
        <w:rPr>
          <w:i/>
        </w:rPr>
        <w:t xml:space="preserv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Pr>
          <w:i/>
        </w:rPr>
        <w:t xml:space="preserve"> ("</w:t>
      </w:r>
      <w:r w:rsidR="007E0C76">
        <w:rPr>
          <w:i/>
        </w:rPr>
        <w:t>Beispielsfrau &amp; Mustermann</w:t>
      </w:r>
      <w:r>
        <w:rPr>
          <w:i/>
        </w:rPr>
        <w:t xml:space="preserve">") </w:t>
      </w:r>
      <w:r w:rsidR="004679CD">
        <w:t>die nachfolgende Risikoanalyse erstellt</w:t>
      </w:r>
      <w:r w:rsidR="007E6D42" w:rsidRPr="0066681A">
        <w:t>.</w:t>
      </w:r>
      <w:r w:rsidR="00943978" w:rsidRPr="0066681A">
        <w:t xml:space="preserve"> </w:t>
      </w:r>
      <w:r w:rsidR="007B7BF8">
        <w:t xml:space="preserve">Diese wird </w:t>
      </w:r>
      <w:r w:rsidR="005D484D">
        <w:t>regelmäßig überprüft und ggfs. aktualisiert.</w:t>
      </w:r>
    </w:p>
    <w:p w14:paraId="06AF1810" w14:textId="52D928D9" w:rsidR="001B2F6B" w:rsidRDefault="001B2F6B" w:rsidP="00461407">
      <w:pPr>
        <w:pStyle w:val="CMSIndent2"/>
        <w:spacing w:after="120"/>
        <w:jc w:val="both"/>
      </w:pPr>
    </w:p>
    <w:p w14:paraId="7000F6A1" w14:textId="70026A9B" w:rsidR="00AC59E5" w:rsidRDefault="00AC59E5" w:rsidP="00461407">
      <w:pPr>
        <w:pStyle w:val="CMSIndent2"/>
        <w:spacing w:after="120"/>
        <w:jc w:val="both"/>
      </w:pPr>
    </w:p>
    <w:p w14:paraId="27C0C0B5" w14:textId="5B283767" w:rsidR="00AC59E5" w:rsidRDefault="00AC59E5" w:rsidP="00461407">
      <w:pPr>
        <w:pStyle w:val="CMSIndent2"/>
        <w:spacing w:after="120"/>
        <w:jc w:val="both"/>
      </w:pPr>
    </w:p>
    <w:p w14:paraId="30E25784" w14:textId="39EEA527" w:rsidR="00AC59E5" w:rsidRDefault="00AC59E5" w:rsidP="00461407">
      <w:pPr>
        <w:pStyle w:val="CMSIndent2"/>
        <w:spacing w:after="120"/>
        <w:jc w:val="both"/>
      </w:pPr>
    </w:p>
    <w:p w14:paraId="13428C28" w14:textId="77777777" w:rsidR="00AC59E5" w:rsidRDefault="00AC59E5" w:rsidP="00461407">
      <w:pPr>
        <w:pStyle w:val="CMSIndent2"/>
        <w:spacing w:after="120"/>
        <w:jc w:val="both"/>
      </w:pPr>
    </w:p>
    <w:p w14:paraId="03E6DA30" w14:textId="662C80B7" w:rsidR="00461407" w:rsidRDefault="0041303E" w:rsidP="00461407">
      <w:pPr>
        <w:pStyle w:val="CMSHeading2"/>
        <w:jc w:val="both"/>
        <w:rPr>
          <w:color w:val="002060"/>
          <w:sz w:val="28"/>
          <w:szCs w:val="28"/>
        </w:rPr>
      </w:pPr>
      <w:bookmarkStart w:id="2" w:name="_Toc28008492"/>
      <w:r>
        <w:rPr>
          <w:color w:val="002060"/>
          <w:sz w:val="28"/>
          <w:szCs w:val="28"/>
        </w:rPr>
        <w:lastRenderedPageBreak/>
        <w:t>Faktoren der Risikoanalyse</w:t>
      </w:r>
      <w:bookmarkEnd w:id="2"/>
    </w:p>
    <w:p w14:paraId="3487A5BD" w14:textId="77777777" w:rsidR="002A3D47" w:rsidRDefault="002A3D47" w:rsidP="006F1C5F">
      <w:pPr>
        <w:pStyle w:val="CMSIndent2"/>
      </w:pPr>
    </w:p>
    <w:p w14:paraId="52EE0213" w14:textId="04FAB77E" w:rsidR="002A3D47" w:rsidRDefault="002A3D47" w:rsidP="006F1C5F">
      <w:pPr>
        <w:pStyle w:val="CMSIndent2"/>
        <w:ind w:left="567"/>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 voneinander, bewertet</w:t>
      </w:r>
      <w:r>
        <w:t>:</w:t>
      </w:r>
    </w:p>
    <w:p w14:paraId="215E072F" w14:textId="77777777" w:rsidR="00F2294B" w:rsidRPr="006F1C5F" w:rsidRDefault="00F2294B" w:rsidP="006F1C5F">
      <w:pPr>
        <w:pStyle w:val="CMSIndent2"/>
        <w:ind w:left="567"/>
      </w:pPr>
    </w:p>
    <w:p w14:paraId="6AE7DBDA" w14:textId="1D4FE991" w:rsidR="001C1AD5" w:rsidRPr="00531E5F" w:rsidRDefault="009A03FF" w:rsidP="00531E5F">
      <w:pPr>
        <w:pStyle w:val="CMSHeading3"/>
        <w:rPr>
          <w:b w:val="0"/>
        </w:rPr>
      </w:pPr>
      <w:bookmarkStart w:id="3" w:name="_Toc28008493"/>
      <w:r>
        <w:t>Kanzlei- und Mitarbeiterstruktur</w:t>
      </w:r>
      <w:bookmarkEnd w:id="3"/>
    </w:p>
    <w:p w14:paraId="62FBA47C" w14:textId="2E8DD93E" w:rsidR="001C1AD5" w:rsidRDefault="007E0C76" w:rsidP="001C1AD5">
      <w:pPr>
        <w:pStyle w:val="CMSExhibit7"/>
        <w:spacing w:after="120"/>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156957">
        <w:t xml:space="preserve">xxx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14:paraId="21C3B112" w14:textId="77777777" w:rsidR="002A04AD" w:rsidRDefault="002A04AD" w:rsidP="001C1AD5">
      <w:pPr>
        <w:pStyle w:val="CMSExhibit7"/>
        <w:spacing w:after="120"/>
      </w:pPr>
    </w:p>
    <w:p w14:paraId="39F365BD" w14:textId="741BCC61" w:rsidR="00A57113" w:rsidRPr="006F1C5F" w:rsidRDefault="00A57113" w:rsidP="006F1C5F">
      <w:pPr>
        <w:pStyle w:val="CMSHeading3"/>
      </w:pPr>
      <w:bookmarkStart w:id="4" w:name="_Toc28008494"/>
      <w:r>
        <w:t>Organisationsstruktur</w:t>
      </w:r>
      <w:bookmarkEnd w:id="4"/>
      <w:r w:rsidR="00C65700">
        <w:t xml:space="preserve"> </w:t>
      </w:r>
    </w:p>
    <w:p w14:paraId="29FCE24F" w14:textId="7BABCE13" w:rsidR="002C002F" w:rsidRDefault="00C65700" w:rsidP="00C65700">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 xml:space="preserve">(sog. Kataloggeschäfte)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14:paraId="41E9D0D2" w14:textId="77777777" w:rsidR="003667D2" w:rsidRDefault="003667D2" w:rsidP="001C1AD5">
      <w:pPr>
        <w:pStyle w:val="CMSExhibit7"/>
      </w:pPr>
    </w:p>
    <w:p w14:paraId="15648A70" w14:textId="4B0B0B65" w:rsidR="00C47356" w:rsidRPr="00531E5F" w:rsidRDefault="00BF2987" w:rsidP="00531E5F">
      <w:pPr>
        <w:pStyle w:val="CMSHeading3"/>
        <w:rPr>
          <w:b w:val="0"/>
        </w:rPr>
      </w:pPr>
      <w:bookmarkStart w:id="5" w:name="_Toc28008495"/>
      <w:r>
        <w:t>Mandanten</w:t>
      </w:r>
      <w:r w:rsidR="002A04AD">
        <w:t>struktur</w:t>
      </w:r>
      <w:bookmarkEnd w:id="5"/>
    </w:p>
    <w:p w14:paraId="04B6189A" w14:textId="31E90434" w:rsidR="00CE0665" w:rsidRDefault="00C47356">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14:paraId="6081471E" w14:textId="3458E4DB" w:rsidR="007A369A" w:rsidRDefault="007A369A" w:rsidP="00351B3A">
      <w:pPr>
        <w:pStyle w:val="CMSExhibit7"/>
      </w:pPr>
    </w:p>
    <w:p w14:paraId="51506A58" w14:textId="7A955F9D" w:rsidR="00BD7937" w:rsidRPr="00E146EC" w:rsidRDefault="00BD7937" w:rsidP="00E146EC">
      <w:pPr>
        <w:pStyle w:val="CMSExhibit7"/>
        <w:jc w:val="center"/>
        <w:rPr>
          <w:i/>
        </w:rPr>
      </w:pPr>
      <w:r w:rsidRPr="00E146EC">
        <w:rPr>
          <w:i/>
        </w:rPr>
        <w:t>Graphische Darstellung</w:t>
      </w:r>
    </w:p>
    <w:p w14:paraId="145A74BA" w14:textId="75F21E26" w:rsidR="00351B3A"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Reine Fernmandate sind dagegen selten. Bei den Unternehmen dominieren mittelständische und große Unternehmen. </w:t>
      </w:r>
      <w:r w:rsidR="007E0C76">
        <w:rPr>
          <w:i/>
        </w:rPr>
        <w:t>Beispielsfrau &amp; Mustermann</w:t>
      </w:r>
      <w:r w:rsidR="00BD7937" w:rsidRPr="00964329">
        <w:rPr>
          <w:i/>
        </w:rPr>
        <w:t xml:space="preserve"> </w:t>
      </w:r>
      <w:r w:rsidRPr="006F1C5F">
        <w:t>betreut auch börsennotierte Unternehmen sowie die öffentliche Hand.</w:t>
      </w:r>
    </w:p>
    <w:p w14:paraId="2675E838" w14:textId="77777777" w:rsidR="00351B3A" w:rsidRDefault="00351B3A" w:rsidP="005E6E95">
      <w:pPr>
        <w:pStyle w:val="CMSExhibit7"/>
      </w:pPr>
    </w:p>
    <w:p w14:paraId="2AD2B812" w14:textId="341959D9" w:rsidR="00DB6055" w:rsidRDefault="00DB6055" w:rsidP="00DB6055">
      <w:pPr>
        <w:pStyle w:val="CMSHeading4"/>
      </w:pPr>
      <w:r>
        <w:t>Geographische Risiken</w:t>
      </w:r>
    </w:p>
    <w:p w14:paraId="3A88BD4B" w14:textId="56EF7AE2"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t xml:space="preserve">% in der </w:t>
      </w:r>
      <w:r>
        <w:lastRenderedPageBreak/>
        <w:t>Europäischen Union</w:t>
      </w:r>
      <w:r w:rsidR="00971175">
        <w:t xml:space="preserve"> und</w:t>
      </w:r>
      <w:r w:rsidR="00A731ED">
        <w:t xml:space="preserve"> ca. </w:t>
      </w:r>
      <w:r w:rsidR="00BD7937">
        <w:t>XX</w:t>
      </w:r>
      <w:r>
        <w:t>% in einem Drittstaat</w:t>
      </w:r>
      <w:r w:rsidR="00971175">
        <w:t xml:space="preserve"> ansässig</w:t>
      </w:r>
      <w:r>
        <w:t>.</w:t>
      </w:r>
      <w:r w:rsidR="00A731ED">
        <w:t xml:space="preserve"> Somit haben ca. </w:t>
      </w:r>
      <w:r w:rsidR="00BD7937">
        <w:t>XX</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14:paraId="5A3B6A45" w14:textId="77777777" w:rsidR="0076451E" w:rsidRDefault="0076451E" w:rsidP="005E6E95">
      <w:pPr>
        <w:pStyle w:val="CMSExhibit7"/>
      </w:pPr>
    </w:p>
    <w:p w14:paraId="58DA8291" w14:textId="66874139" w:rsidR="00CE0665" w:rsidRDefault="00CE0665" w:rsidP="006F1C5F">
      <w:pPr>
        <w:pStyle w:val="CMSExhibit7"/>
        <w:jc w:val="center"/>
      </w:pPr>
      <w:r>
        <w:rPr>
          <w:noProof/>
        </w:rPr>
        <w:drawing>
          <wp:inline distT="0" distB="0" distL="0" distR="0" wp14:anchorId="6DDE1F5D" wp14:editId="2F14A6BE">
            <wp:extent cx="4688958" cy="2966484"/>
            <wp:effectExtent l="0" t="0" r="16510" b="571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CFDE79" w14:textId="77777777" w:rsidR="00CE0665" w:rsidRDefault="00CE0665" w:rsidP="005E6E95">
      <w:pPr>
        <w:pStyle w:val="CMSExhibit7"/>
      </w:pPr>
    </w:p>
    <w:p w14:paraId="68AF018F" w14:textId="34F91263" w:rsidR="0000040E" w:rsidRDefault="00EF685B" w:rsidP="006F1C5F">
      <w:pPr>
        <w:pStyle w:val="CMSExhibit7"/>
        <w:jc w:val="center"/>
      </w:pPr>
      <w:r>
        <w:rPr>
          <w:noProof/>
        </w:rPr>
        <w:drawing>
          <wp:inline distT="0" distB="0" distL="0" distR="0" wp14:anchorId="5E014AFF" wp14:editId="1C8F94F2">
            <wp:extent cx="4506164" cy="2289658"/>
            <wp:effectExtent l="0" t="0" r="8890"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6DE382" w14:textId="4021DC2A"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t xml:space="preserve">% liegt, der von Unternehmen damit bei ca. </w:t>
      </w:r>
      <w:r w:rsidR="00BD7937">
        <w:t>XX</w:t>
      </w:r>
      <w:r>
        <w:t xml:space="preserve">%. </w:t>
      </w:r>
      <w:r w:rsidR="00044129">
        <w:t>Privatpersonen kommen fast ausschließlich aus Deutschland, deren Anteil beträgt c</w:t>
      </w:r>
      <w:r w:rsidR="00400167" w:rsidRPr="00A731ED">
        <w:t xml:space="preserve">a. </w:t>
      </w:r>
      <w:r w:rsidR="00BD7937">
        <w:t>XX</w:t>
      </w:r>
      <w:r w:rsidR="002A2B1B" w:rsidRPr="00A731ED">
        <w:t>%</w:t>
      </w:r>
      <w:r w:rsidR="00044129">
        <w:t xml:space="preserve">, der Anteil der ausländischen Privatpersonen verteilt sich gleichermaßen auf jeweils </w:t>
      </w:r>
      <w:r w:rsidR="00BD7937">
        <w:t>XX</w:t>
      </w:r>
      <w:r w:rsidR="00044129">
        <w:t>% EU-Mitgliedsstaaten und Drittländern</w:t>
      </w:r>
      <w:r w:rsidR="0076451E">
        <w:t>.</w:t>
      </w:r>
    </w:p>
    <w:p w14:paraId="365E49A1" w14:textId="77777777" w:rsidR="0076451E" w:rsidRDefault="0076451E" w:rsidP="000005B9">
      <w:pPr>
        <w:pStyle w:val="CMSExhibit7"/>
      </w:pPr>
    </w:p>
    <w:p w14:paraId="31584DC9" w14:textId="10CD7DC3" w:rsidR="00044129" w:rsidRDefault="0076451E" w:rsidP="006F1C5F">
      <w:pPr>
        <w:pStyle w:val="CMSExhibit7"/>
        <w:jc w:val="center"/>
      </w:pPr>
      <w:r>
        <w:rPr>
          <w:noProof/>
        </w:rPr>
        <w:lastRenderedPageBreak/>
        <w:drawing>
          <wp:inline distT="0" distB="0" distL="0" distR="0" wp14:anchorId="3A19BA20" wp14:editId="221E2FE4">
            <wp:extent cx="4447032" cy="2443073"/>
            <wp:effectExtent l="0" t="0" r="10795" b="146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2D19B8" w14:textId="63CEDD26"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Pr="00A731ED">
        <w:t xml:space="preserve">%, ca. </w:t>
      </w:r>
      <w:r w:rsidR="00BD7937">
        <w:t>XX</w:t>
      </w:r>
      <w:r w:rsidRPr="00A731ED">
        <w:t xml:space="preserve">% </w:t>
      </w:r>
      <w:r w:rsidR="00044129">
        <w:t xml:space="preserve">sind in der EU ansässig und ca. </w:t>
      </w:r>
      <w:r w:rsidR="00BD7937">
        <w:t>XX</w:t>
      </w:r>
      <w:r w:rsidRPr="00A731ED">
        <w:t xml:space="preserve">% </w:t>
      </w:r>
      <w:r w:rsidR="00044129">
        <w:t>kommen aus</w:t>
      </w:r>
      <w:r w:rsidRPr="00A731ED">
        <w:t xml:space="preserve"> Drittstaaten.</w:t>
      </w:r>
    </w:p>
    <w:p w14:paraId="7213B55A" w14:textId="77777777" w:rsidR="00B61A1D" w:rsidRDefault="00B61A1D" w:rsidP="006F1C5F">
      <w:pPr>
        <w:pStyle w:val="CMSExhibit7"/>
        <w:ind w:left="0"/>
        <w:rPr>
          <w:highlight w:val="yellow"/>
        </w:rPr>
      </w:pPr>
    </w:p>
    <w:p w14:paraId="6BB34F42" w14:textId="49BCFFB8" w:rsidR="003A645B" w:rsidRDefault="0076451E" w:rsidP="006F1C5F">
      <w:pPr>
        <w:pStyle w:val="CMSExhibit7"/>
        <w:ind w:left="0"/>
        <w:jc w:val="center"/>
      </w:pPr>
      <w:r>
        <w:rPr>
          <w:noProof/>
        </w:rPr>
        <w:drawing>
          <wp:inline distT="0" distB="0" distL="0" distR="0" wp14:anchorId="110A2049" wp14:editId="4DF712D8">
            <wp:extent cx="4959706" cy="2589581"/>
            <wp:effectExtent l="0" t="0" r="12700" b="127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4F0A4C" w14:textId="2037F25F"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t xml:space="preserve">%). </w:t>
      </w:r>
      <w:r w:rsidR="00E8741E">
        <w:t xml:space="preserve">Von den Mandanten mit Sitz im Ausland sind ca. </w:t>
      </w:r>
      <w:r w:rsidR="00537671">
        <w:t>XX</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 xml:space="preserve">auf ca.  </w:t>
      </w:r>
      <w:r w:rsidR="00537671">
        <w:t>XX</w:t>
      </w:r>
      <w:r w:rsidR="00E8741E">
        <w:t>% beläuft</w:t>
      </w:r>
      <w:r w:rsidR="000179E8">
        <w:t xml:space="preserve">. </w:t>
      </w:r>
      <w:r w:rsidR="006B09BB">
        <w:t>D</w:t>
      </w:r>
      <w:r w:rsidR="000179E8">
        <w:t>ie restlichen</w:t>
      </w:r>
      <w:r w:rsidR="00E8741E">
        <w:t xml:space="preserve"> ca. </w:t>
      </w:r>
      <w:r w:rsidR="00537671">
        <w:t>XX</w:t>
      </w:r>
      <w:r w:rsidR="000179E8">
        <w:t>%</w:t>
      </w:r>
      <w:r w:rsidR="0011730E">
        <w:t xml:space="preserve"> </w:t>
      </w:r>
      <w:r w:rsidR="00E8741E">
        <w:t>entfallen auf D</w:t>
      </w:r>
      <w:r w:rsidR="006B09BB">
        <w:t xml:space="preserve">rittstaaten, </w:t>
      </w:r>
      <w:r w:rsidR="00E8741E">
        <w:t xml:space="preserve">wovon alleine ca. </w:t>
      </w:r>
      <w:r w:rsidR="00537671">
        <w:t>XX</w:t>
      </w:r>
      <w:r w:rsidR="006B09BB">
        <w:t>% auf die USA, Schweiz und China entfallen</w:t>
      </w:r>
      <w:r w:rsidR="007851BD">
        <w:t xml:space="preserve">. </w:t>
      </w:r>
    </w:p>
    <w:p w14:paraId="5917A94F" w14:textId="7E4EF308" w:rsidR="002B2BAC" w:rsidRDefault="00C468A6" w:rsidP="005E6E95">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14:paraId="2166ABBA" w14:textId="77777777" w:rsidR="002B2BAC" w:rsidRDefault="002B2BAC" w:rsidP="005E6E95">
      <w:pPr>
        <w:pStyle w:val="CMSExhibit7"/>
      </w:pPr>
    </w:p>
    <w:p w14:paraId="5689148F" w14:textId="2F466892" w:rsidR="002A04AD" w:rsidRDefault="002A04AD" w:rsidP="005E6E95">
      <w:pPr>
        <w:pStyle w:val="CMSExhibit7"/>
      </w:pPr>
    </w:p>
    <w:p w14:paraId="3B26825B" w14:textId="77777777" w:rsidR="00F2294B" w:rsidRDefault="00F2294B" w:rsidP="005E6E95">
      <w:pPr>
        <w:pStyle w:val="CMSExhibit7"/>
      </w:pPr>
    </w:p>
    <w:p w14:paraId="7BA6F7B2" w14:textId="77777777" w:rsidR="002B2BAC" w:rsidRDefault="002B2BAC" w:rsidP="002B2BAC">
      <w:pPr>
        <w:pStyle w:val="CMSHeading4"/>
      </w:pPr>
      <w:r>
        <w:t>Länderspezifische Risiken</w:t>
      </w:r>
    </w:p>
    <w:p w14:paraId="4F795330" w14:textId="0029EBB1" w:rsidR="002B2BAC" w:rsidRDefault="002B2BAC" w:rsidP="002B2BAC">
      <w:pPr>
        <w:pStyle w:val="CMSExhibit7"/>
      </w:pPr>
      <w:r>
        <w:t xml:space="preserve">Geschäftsbeziehungen von </w:t>
      </w:r>
      <w:r w:rsidR="007E0C76">
        <w:rPr>
          <w:i/>
        </w:rPr>
        <w:t>Beispielsfrau &amp; Mustermann</w:t>
      </w:r>
      <w:r w:rsidR="00537671" w:rsidRPr="00964329">
        <w:rPr>
          <w:i/>
        </w:rPr>
        <w:t xml:space="preserve"> </w:t>
      </w:r>
      <w:r>
        <w:t xml:space="preserve">bestehen, wie oben ausführlich dargestellt,  weit überwiegend zu Mandanten aus Ländern mit potentiell geringen länderspezifischen Risiko. </w:t>
      </w:r>
      <w:r w:rsidR="000F6859">
        <w:t xml:space="preserve">Nur ein geringer Anteil der Mandanten hat seinen Sitz in Drittstaaten, insgesamt über alle Mandate </w:t>
      </w:r>
      <w:r w:rsidR="00126FA0">
        <w:t xml:space="preserve">hinweg </w:t>
      </w:r>
      <w:r w:rsidR="001C254F">
        <w:t>betrifft dies ca.</w:t>
      </w:r>
      <w:r w:rsidR="000F6859">
        <w:t xml:space="preserve"> </w:t>
      </w:r>
      <w:r w:rsidR="00537671">
        <w:t>XX</w:t>
      </w:r>
      <w:r>
        <w:t xml:space="preserve">% </w:t>
      </w:r>
      <w:r w:rsidR="001C254F">
        <w:t>der Mandanten</w:t>
      </w:r>
      <w:r w:rsidR="000F6859">
        <w:t xml:space="preserve">, bei Kataloggeschäften </w:t>
      </w:r>
      <w:r w:rsidR="001C254F">
        <w:t xml:space="preserve">liegt der Anteil bei </w:t>
      </w:r>
      <w:r w:rsidR="000F6859">
        <w:t>ca.</w:t>
      </w:r>
      <w:r w:rsidR="001C254F">
        <w:t xml:space="preserve"> </w:t>
      </w:r>
      <w:r w:rsidR="00537671">
        <w:t>XX</w:t>
      </w:r>
      <w:r w:rsidR="000F6859">
        <w:t xml:space="preserve">%. </w:t>
      </w:r>
      <w:r>
        <w:t xml:space="preserve">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  </w:t>
      </w:r>
    </w:p>
    <w:p w14:paraId="7C792516" w14:textId="77777777" w:rsidR="002B2BAC" w:rsidRDefault="002B2BAC" w:rsidP="002B2BAC">
      <w:pPr>
        <w:pStyle w:val="CMSExhibit7"/>
      </w:pPr>
      <w:r>
        <w:rPr>
          <w:noProof/>
        </w:rPr>
        <w:drawing>
          <wp:inline distT="0" distB="0" distL="0" distR="0" wp14:anchorId="420BBE65" wp14:editId="5793F50B">
            <wp:extent cx="5333200" cy="2488325"/>
            <wp:effectExtent l="0" t="0" r="127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9031" cy="2495711"/>
                    </a:xfrm>
                    <a:prstGeom prst="rect">
                      <a:avLst/>
                    </a:prstGeom>
                  </pic:spPr>
                </pic:pic>
              </a:graphicData>
            </a:graphic>
          </wp:inline>
        </w:drawing>
      </w:r>
    </w:p>
    <w:p w14:paraId="4E90B63A" w14:textId="77777777" w:rsidR="002B2BAC" w:rsidRDefault="002B2BAC" w:rsidP="002B2BAC">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2B2BAC" w14:paraId="0E0845AF" w14:textId="77777777" w:rsidTr="002B2BAC">
        <w:trPr>
          <w:jc w:val="center"/>
        </w:trPr>
        <w:tc>
          <w:tcPr>
            <w:tcW w:w="3406" w:type="dxa"/>
          </w:tcPr>
          <w:p w14:paraId="20ABA504" w14:textId="77777777" w:rsidR="002B2BAC" w:rsidRDefault="002B2BAC" w:rsidP="002B2BAC">
            <w:pPr>
              <w:pStyle w:val="CMSExhibit7"/>
              <w:spacing w:line="240" w:lineRule="auto"/>
              <w:ind w:left="0"/>
              <w:jc w:val="center"/>
            </w:pPr>
            <w:r>
              <w:t>Nicht kooperierende Hoch-Risiko Jurisdiktion</w:t>
            </w:r>
          </w:p>
        </w:tc>
        <w:tc>
          <w:tcPr>
            <w:tcW w:w="2247" w:type="dxa"/>
          </w:tcPr>
          <w:p w14:paraId="73E64B0A" w14:textId="77777777" w:rsidR="002B2BAC" w:rsidRDefault="002B2BAC" w:rsidP="002B2BAC">
            <w:pPr>
              <w:pStyle w:val="CMSExhibit7"/>
              <w:spacing w:line="240" w:lineRule="auto"/>
              <w:ind w:left="0"/>
              <w:jc w:val="center"/>
            </w:pPr>
            <w:r>
              <w:t xml:space="preserve">Anzahl Mandate </w:t>
            </w:r>
            <w:r>
              <w:rPr>
                <w:rStyle w:val="Funotenzeichen"/>
              </w:rPr>
              <w:footnoteReference w:id="1"/>
            </w:r>
          </w:p>
        </w:tc>
        <w:tc>
          <w:tcPr>
            <w:tcW w:w="2393" w:type="dxa"/>
          </w:tcPr>
          <w:p w14:paraId="64D9AE80" w14:textId="77777777" w:rsidR="002B2BAC" w:rsidRDefault="002B2BAC" w:rsidP="002B2BAC">
            <w:pPr>
              <w:pStyle w:val="CMSExhibit7"/>
              <w:spacing w:line="240" w:lineRule="auto"/>
              <w:ind w:left="0"/>
              <w:jc w:val="center"/>
            </w:pPr>
            <w:r>
              <w:t>Davon Kataloggeschäfte</w:t>
            </w:r>
          </w:p>
        </w:tc>
      </w:tr>
      <w:tr w:rsidR="002B2BAC" w14:paraId="0E1986C3" w14:textId="77777777" w:rsidTr="002B2BAC">
        <w:trPr>
          <w:jc w:val="center"/>
        </w:trPr>
        <w:tc>
          <w:tcPr>
            <w:tcW w:w="3406" w:type="dxa"/>
          </w:tcPr>
          <w:p w14:paraId="6E66149A" w14:textId="77777777" w:rsidR="002B2BAC" w:rsidRDefault="002B2BAC" w:rsidP="002B2BAC">
            <w:pPr>
              <w:pStyle w:val="CMSExhibit7"/>
              <w:spacing w:line="240" w:lineRule="auto"/>
              <w:ind w:left="0"/>
              <w:jc w:val="left"/>
            </w:pPr>
            <w:r>
              <w:t>Bosnien</w:t>
            </w:r>
          </w:p>
        </w:tc>
        <w:tc>
          <w:tcPr>
            <w:tcW w:w="2247" w:type="dxa"/>
          </w:tcPr>
          <w:p w14:paraId="5D314377" w14:textId="77777777" w:rsidR="002B2BAC" w:rsidRDefault="002B2BAC" w:rsidP="002B2BAC">
            <w:pPr>
              <w:pStyle w:val="CMSExhibit7"/>
              <w:spacing w:line="240" w:lineRule="auto"/>
              <w:ind w:left="0"/>
            </w:pPr>
            <w:r>
              <w:t>0</w:t>
            </w:r>
          </w:p>
        </w:tc>
        <w:tc>
          <w:tcPr>
            <w:tcW w:w="2393" w:type="dxa"/>
          </w:tcPr>
          <w:p w14:paraId="45F61F3F" w14:textId="77777777" w:rsidR="002B2BAC" w:rsidRDefault="002B2BAC" w:rsidP="002B2BAC">
            <w:pPr>
              <w:pStyle w:val="CMSExhibit7"/>
              <w:spacing w:line="240" w:lineRule="auto"/>
              <w:ind w:left="0"/>
            </w:pPr>
            <w:r>
              <w:t>0</w:t>
            </w:r>
          </w:p>
        </w:tc>
      </w:tr>
      <w:tr w:rsidR="002B2BAC" w14:paraId="07089C3D" w14:textId="77777777" w:rsidTr="002B2BAC">
        <w:trPr>
          <w:jc w:val="center"/>
        </w:trPr>
        <w:tc>
          <w:tcPr>
            <w:tcW w:w="3406" w:type="dxa"/>
          </w:tcPr>
          <w:p w14:paraId="04539646" w14:textId="77777777" w:rsidR="002B2BAC" w:rsidRDefault="002B2BAC" w:rsidP="002B2BAC">
            <w:pPr>
              <w:pStyle w:val="CMSExhibit7"/>
              <w:spacing w:line="240" w:lineRule="auto"/>
              <w:ind w:left="0"/>
              <w:jc w:val="left"/>
            </w:pPr>
            <w:r>
              <w:t>Äthiopien</w:t>
            </w:r>
          </w:p>
        </w:tc>
        <w:tc>
          <w:tcPr>
            <w:tcW w:w="2247" w:type="dxa"/>
          </w:tcPr>
          <w:p w14:paraId="15B8AE16" w14:textId="77777777" w:rsidR="002B2BAC" w:rsidRDefault="002B2BAC" w:rsidP="002B2BAC">
            <w:pPr>
              <w:pStyle w:val="CMSExhibit7"/>
              <w:spacing w:line="240" w:lineRule="auto"/>
              <w:ind w:left="0"/>
            </w:pPr>
            <w:r>
              <w:t>0</w:t>
            </w:r>
          </w:p>
        </w:tc>
        <w:tc>
          <w:tcPr>
            <w:tcW w:w="2393" w:type="dxa"/>
          </w:tcPr>
          <w:p w14:paraId="68FB2D60" w14:textId="77777777" w:rsidR="002B2BAC" w:rsidRDefault="002B2BAC" w:rsidP="002B2BAC">
            <w:pPr>
              <w:pStyle w:val="CMSExhibit7"/>
              <w:spacing w:line="240" w:lineRule="auto"/>
              <w:ind w:left="0"/>
            </w:pPr>
            <w:r>
              <w:t>0</w:t>
            </w:r>
          </w:p>
        </w:tc>
      </w:tr>
      <w:tr w:rsidR="002B2BAC" w14:paraId="4D9C5B47" w14:textId="77777777" w:rsidTr="002B2BAC">
        <w:trPr>
          <w:jc w:val="center"/>
        </w:trPr>
        <w:tc>
          <w:tcPr>
            <w:tcW w:w="3406" w:type="dxa"/>
          </w:tcPr>
          <w:p w14:paraId="705E73E6" w14:textId="77777777" w:rsidR="002B2BAC" w:rsidRDefault="002B2BAC" w:rsidP="002B2BAC">
            <w:pPr>
              <w:pStyle w:val="CMSExhibit7"/>
              <w:spacing w:line="240" w:lineRule="auto"/>
              <w:ind w:left="0"/>
              <w:jc w:val="left"/>
            </w:pPr>
            <w:r>
              <w:t>Iran</w:t>
            </w:r>
          </w:p>
        </w:tc>
        <w:tc>
          <w:tcPr>
            <w:tcW w:w="2247" w:type="dxa"/>
          </w:tcPr>
          <w:p w14:paraId="7291310B" w14:textId="453D4F3E" w:rsidR="002B2BAC" w:rsidRDefault="00537671" w:rsidP="002B2BAC">
            <w:pPr>
              <w:pStyle w:val="CMSExhibit7"/>
              <w:spacing w:line="240" w:lineRule="auto"/>
              <w:ind w:left="0"/>
            </w:pPr>
            <w:r>
              <w:t>0</w:t>
            </w:r>
          </w:p>
        </w:tc>
        <w:tc>
          <w:tcPr>
            <w:tcW w:w="2393" w:type="dxa"/>
          </w:tcPr>
          <w:p w14:paraId="471361D1" w14:textId="5C15E646" w:rsidR="002B2BAC" w:rsidRDefault="00537671" w:rsidP="002B2BAC">
            <w:pPr>
              <w:pStyle w:val="CMSExhibit7"/>
              <w:spacing w:line="240" w:lineRule="auto"/>
              <w:ind w:left="0"/>
            </w:pPr>
            <w:r>
              <w:t>0</w:t>
            </w:r>
          </w:p>
        </w:tc>
      </w:tr>
      <w:tr w:rsidR="002B2BAC" w14:paraId="1C955B4D" w14:textId="77777777" w:rsidTr="002B2BAC">
        <w:trPr>
          <w:jc w:val="center"/>
        </w:trPr>
        <w:tc>
          <w:tcPr>
            <w:tcW w:w="3406" w:type="dxa"/>
          </w:tcPr>
          <w:p w14:paraId="02669028" w14:textId="77777777" w:rsidR="002B2BAC" w:rsidRDefault="002B2BAC" w:rsidP="002B2BAC">
            <w:pPr>
              <w:pStyle w:val="CMSExhibit7"/>
              <w:spacing w:line="240" w:lineRule="auto"/>
              <w:ind w:left="0"/>
              <w:jc w:val="left"/>
            </w:pPr>
            <w:r>
              <w:t>Irak</w:t>
            </w:r>
          </w:p>
        </w:tc>
        <w:tc>
          <w:tcPr>
            <w:tcW w:w="2247" w:type="dxa"/>
          </w:tcPr>
          <w:p w14:paraId="33B50E72" w14:textId="77777777" w:rsidR="002B2BAC" w:rsidRDefault="002B2BAC" w:rsidP="002B2BAC">
            <w:pPr>
              <w:pStyle w:val="CMSExhibit7"/>
              <w:spacing w:line="240" w:lineRule="auto"/>
              <w:ind w:left="0"/>
            </w:pPr>
            <w:r>
              <w:t>0</w:t>
            </w:r>
          </w:p>
        </w:tc>
        <w:tc>
          <w:tcPr>
            <w:tcW w:w="2393" w:type="dxa"/>
          </w:tcPr>
          <w:p w14:paraId="43F802EF" w14:textId="77777777" w:rsidR="002B2BAC" w:rsidRDefault="002B2BAC" w:rsidP="002B2BAC">
            <w:pPr>
              <w:pStyle w:val="CMSExhibit7"/>
              <w:spacing w:line="240" w:lineRule="auto"/>
              <w:ind w:left="0"/>
            </w:pPr>
            <w:r>
              <w:t>0</w:t>
            </w:r>
          </w:p>
        </w:tc>
      </w:tr>
      <w:tr w:rsidR="002B2BAC" w14:paraId="2F82BA5D" w14:textId="77777777" w:rsidTr="002B2BAC">
        <w:trPr>
          <w:jc w:val="center"/>
        </w:trPr>
        <w:tc>
          <w:tcPr>
            <w:tcW w:w="3406" w:type="dxa"/>
          </w:tcPr>
          <w:p w14:paraId="28DC4F99" w14:textId="77777777" w:rsidR="002B2BAC" w:rsidRDefault="002B2BAC" w:rsidP="002B2BAC">
            <w:pPr>
              <w:pStyle w:val="CMSExhibit7"/>
              <w:spacing w:line="240" w:lineRule="auto"/>
              <w:ind w:left="0"/>
              <w:jc w:val="left"/>
            </w:pPr>
            <w:r>
              <w:t>Nordkorea</w:t>
            </w:r>
          </w:p>
        </w:tc>
        <w:tc>
          <w:tcPr>
            <w:tcW w:w="2247" w:type="dxa"/>
          </w:tcPr>
          <w:p w14:paraId="26E66405" w14:textId="77777777" w:rsidR="002B2BAC" w:rsidRDefault="002B2BAC" w:rsidP="002B2BAC">
            <w:pPr>
              <w:pStyle w:val="CMSExhibit7"/>
              <w:spacing w:line="240" w:lineRule="auto"/>
              <w:ind w:left="0"/>
            </w:pPr>
            <w:r>
              <w:t>0</w:t>
            </w:r>
          </w:p>
        </w:tc>
        <w:tc>
          <w:tcPr>
            <w:tcW w:w="2393" w:type="dxa"/>
          </w:tcPr>
          <w:p w14:paraId="6F97D992" w14:textId="77777777" w:rsidR="002B2BAC" w:rsidRDefault="002B2BAC" w:rsidP="002B2BAC">
            <w:pPr>
              <w:pStyle w:val="CMSExhibit7"/>
              <w:spacing w:line="240" w:lineRule="auto"/>
              <w:ind w:left="0"/>
            </w:pPr>
            <w:r>
              <w:t>0</w:t>
            </w:r>
          </w:p>
        </w:tc>
      </w:tr>
      <w:tr w:rsidR="002B2BAC" w14:paraId="2B44EF04" w14:textId="77777777" w:rsidTr="002B2BAC">
        <w:trPr>
          <w:jc w:val="center"/>
        </w:trPr>
        <w:tc>
          <w:tcPr>
            <w:tcW w:w="3406" w:type="dxa"/>
          </w:tcPr>
          <w:p w14:paraId="4534533B" w14:textId="77777777" w:rsidR="002B2BAC" w:rsidRDefault="002B2BAC" w:rsidP="002B2BAC">
            <w:pPr>
              <w:pStyle w:val="CMSExhibit7"/>
              <w:spacing w:line="240" w:lineRule="auto"/>
              <w:ind w:left="0"/>
              <w:jc w:val="left"/>
            </w:pPr>
            <w:r>
              <w:t>Sri Lanka</w:t>
            </w:r>
          </w:p>
        </w:tc>
        <w:tc>
          <w:tcPr>
            <w:tcW w:w="2247" w:type="dxa"/>
          </w:tcPr>
          <w:p w14:paraId="0369E949" w14:textId="4F2FE2B8" w:rsidR="002B2BAC" w:rsidRDefault="00537671" w:rsidP="002B2BAC">
            <w:pPr>
              <w:pStyle w:val="CMSExhibit7"/>
              <w:spacing w:line="240" w:lineRule="auto"/>
              <w:ind w:left="0"/>
            </w:pPr>
            <w:r>
              <w:t>0</w:t>
            </w:r>
          </w:p>
        </w:tc>
        <w:tc>
          <w:tcPr>
            <w:tcW w:w="2393" w:type="dxa"/>
          </w:tcPr>
          <w:p w14:paraId="112749BF" w14:textId="77777777" w:rsidR="002B2BAC" w:rsidRDefault="002B2BAC" w:rsidP="002B2BAC">
            <w:pPr>
              <w:pStyle w:val="CMSExhibit7"/>
              <w:spacing w:line="240" w:lineRule="auto"/>
              <w:ind w:left="0"/>
            </w:pPr>
            <w:r>
              <w:t>0</w:t>
            </w:r>
          </w:p>
        </w:tc>
      </w:tr>
      <w:tr w:rsidR="002B2BAC" w14:paraId="48A66A25" w14:textId="77777777" w:rsidTr="002B2BAC">
        <w:trPr>
          <w:jc w:val="center"/>
        </w:trPr>
        <w:tc>
          <w:tcPr>
            <w:tcW w:w="3406" w:type="dxa"/>
          </w:tcPr>
          <w:p w14:paraId="0E924300" w14:textId="77777777" w:rsidR="002B2BAC" w:rsidRDefault="002B2BAC" w:rsidP="002B2BAC">
            <w:pPr>
              <w:pStyle w:val="CMSExhibit7"/>
              <w:spacing w:line="240" w:lineRule="auto"/>
              <w:ind w:left="0"/>
              <w:jc w:val="left"/>
            </w:pPr>
            <w:r>
              <w:t>Syrien</w:t>
            </w:r>
          </w:p>
        </w:tc>
        <w:tc>
          <w:tcPr>
            <w:tcW w:w="2247" w:type="dxa"/>
          </w:tcPr>
          <w:p w14:paraId="1C21029C" w14:textId="77777777" w:rsidR="002B2BAC" w:rsidRDefault="002B2BAC" w:rsidP="002B2BAC">
            <w:pPr>
              <w:pStyle w:val="CMSExhibit7"/>
              <w:spacing w:line="240" w:lineRule="auto"/>
              <w:ind w:left="0"/>
            </w:pPr>
            <w:r>
              <w:t>0</w:t>
            </w:r>
          </w:p>
        </w:tc>
        <w:tc>
          <w:tcPr>
            <w:tcW w:w="2393" w:type="dxa"/>
          </w:tcPr>
          <w:p w14:paraId="396DE992" w14:textId="77777777" w:rsidR="002B2BAC" w:rsidRDefault="002B2BAC" w:rsidP="002B2BAC">
            <w:pPr>
              <w:pStyle w:val="CMSExhibit7"/>
              <w:spacing w:line="240" w:lineRule="auto"/>
              <w:ind w:left="0"/>
            </w:pPr>
            <w:r>
              <w:t>0</w:t>
            </w:r>
          </w:p>
        </w:tc>
      </w:tr>
      <w:tr w:rsidR="002B2BAC" w14:paraId="716F5DF0" w14:textId="77777777" w:rsidTr="002B2BAC">
        <w:trPr>
          <w:jc w:val="center"/>
        </w:trPr>
        <w:tc>
          <w:tcPr>
            <w:tcW w:w="3406" w:type="dxa"/>
          </w:tcPr>
          <w:p w14:paraId="3342DAB2" w14:textId="77777777" w:rsidR="002B2BAC" w:rsidRDefault="002B2BAC" w:rsidP="002B2BAC">
            <w:pPr>
              <w:pStyle w:val="CMSExhibit7"/>
              <w:spacing w:line="240" w:lineRule="auto"/>
              <w:ind w:left="0"/>
              <w:jc w:val="left"/>
            </w:pPr>
            <w:r>
              <w:t>Trinidad und Tobago</w:t>
            </w:r>
          </w:p>
        </w:tc>
        <w:tc>
          <w:tcPr>
            <w:tcW w:w="2247" w:type="dxa"/>
          </w:tcPr>
          <w:p w14:paraId="26CC9C8F" w14:textId="77777777" w:rsidR="002B2BAC" w:rsidRDefault="002B2BAC" w:rsidP="002B2BAC">
            <w:pPr>
              <w:pStyle w:val="CMSExhibit7"/>
              <w:spacing w:line="240" w:lineRule="auto"/>
              <w:ind w:left="0"/>
            </w:pPr>
            <w:r>
              <w:t>0</w:t>
            </w:r>
          </w:p>
        </w:tc>
        <w:tc>
          <w:tcPr>
            <w:tcW w:w="2393" w:type="dxa"/>
          </w:tcPr>
          <w:p w14:paraId="129ECEC7" w14:textId="77777777" w:rsidR="002B2BAC" w:rsidRDefault="002B2BAC" w:rsidP="002B2BAC">
            <w:pPr>
              <w:pStyle w:val="CMSExhibit7"/>
              <w:spacing w:line="240" w:lineRule="auto"/>
              <w:ind w:left="0"/>
            </w:pPr>
            <w:r>
              <w:t>0</w:t>
            </w:r>
          </w:p>
        </w:tc>
      </w:tr>
      <w:tr w:rsidR="002B2BAC" w14:paraId="0BC94D46" w14:textId="77777777" w:rsidTr="002B2BAC">
        <w:trPr>
          <w:jc w:val="center"/>
        </w:trPr>
        <w:tc>
          <w:tcPr>
            <w:tcW w:w="3406" w:type="dxa"/>
          </w:tcPr>
          <w:p w14:paraId="5873C27D" w14:textId="77777777" w:rsidR="002B2BAC" w:rsidRDefault="002B2BAC" w:rsidP="002B2BAC">
            <w:pPr>
              <w:pStyle w:val="CMSExhibit7"/>
              <w:spacing w:line="240" w:lineRule="auto"/>
              <w:ind w:left="0"/>
              <w:jc w:val="left"/>
            </w:pPr>
            <w:r>
              <w:t>Tunesien</w:t>
            </w:r>
          </w:p>
        </w:tc>
        <w:tc>
          <w:tcPr>
            <w:tcW w:w="2247" w:type="dxa"/>
          </w:tcPr>
          <w:p w14:paraId="6BF90A74" w14:textId="77777777" w:rsidR="002B2BAC" w:rsidRDefault="002B2BAC" w:rsidP="002B2BAC">
            <w:pPr>
              <w:pStyle w:val="CMSExhibit7"/>
              <w:spacing w:line="240" w:lineRule="auto"/>
              <w:ind w:left="0"/>
            </w:pPr>
            <w:r>
              <w:t>0</w:t>
            </w:r>
          </w:p>
        </w:tc>
        <w:tc>
          <w:tcPr>
            <w:tcW w:w="2393" w:type="dxa"/>
          </w:tcPr>
          <w:p w14:paraId="4C12E433" w14:textId="77777777" w:rsidR="002B2BAC" w:rsidRDefault="002B2BAC" w:rsidP="002B2BAC">
            <w:pPr>
              <w:pStyle w:val="CMSExhibit7"/>
              <w:spacing w:line="240" w:lineRule="auto"/>
              <w:ind w:left="0"/>
            </w:pPr>
            <w:r>
              <w:t>0</w:t>
            </w:r>
          </w:p>
        </w:tc>
      </w:tr>
      <w:tr w:rsidR="002B2BAC" w14:paraId="47DB2A59" w14:textId="77777777" w:rsidTr="002B2BAC">
        <w:trPr>
          <w:jc w:val="center"/>
        </w:trPr>
        <w:tc>
          <w:tcPr>
            <w:tcW w:w="3406" w:type="dxa"/>
          </w:tcPr>
          <w:p w14:paraId="44A63A9D" w14:textId="77777777" w:rsidR="002B2BAC" w:rsidRDefault="002B2BAC" w:rsidP="002B2BAC">
            <w:pPr>
              <w:pStyle w:val="CMSExhibit7"/>
              <w:spacing w:line="240" w:lineRule="auto"/>
              <w:ind w:left="0"/>
              <w:jc w:val="left"/>
            </w:pPr>
            <w:r>
              <w:t>Vanuatu</w:t>
            </w:r>
          </w:p>
        </w:tc>
        <w:tc>
          <w:tcPr>
            <w:tcW w:w="2247" w:type="dxa"/>
          </w:tcPr>
          <w:p w14:paraId="38237E1D" w14:textId="77777777" w:rsidR="002B2BAC" w:rsidRDefault="002B2BAC" w:rsidP="002B2BAC">
            <w:pPr>
              <w:pStyle w:val="CMSExhibit7"/>
              <w:spacing w:line="240" w:lineRule="auto"/>
              <w:ind w:left="0"/>
            </w:pPr>
            <w:r>
              <w:t>0</w:t>
            </w:r>
          </w:p>
        </w:tc>
        <w:tc>
          <w:tcPr>
            <w:tcW w:w="2393" w:type="dxa"/>
          </w:tcPr>
          <w:p w14:paraId="44A9F9A6" w14:textId="77777777" w:rsidR="002B2BAC" w:rsidRDefault="002B2BAC" w:rsidP="002B2BAC">
            <w:pPr>
              <w:pStyle w:val="CMSExhibit7"/>
              <w:spacing w:line="240" w:lineRule="auto"/>
              <w:ind w:left="0"/>
            </w:pPr>
            <w:r>
              <w:t>0</w:t>
            </w:r>
          </w:p>
        </w:tc>
      </w:tr>
      <w:tr w:rsidR="002B2BAC" w14:paraId="4127D74A" w14:textId="77777777" w:rsidTr="002B2BAC">
        <w:trPr>
          <w:jc w:val="center"/>
        </w:trPr>
        <w:tc>
          <w:tcPr>
            <w:tcW w:w="3406" w:type="dxa"/>
          </w:tcPr>
          <w:p w14:paraId="3DF47864" w14:textId="77777777" w:rsidR="002B2BAC" w:rsidRDefault="002B2BAC" w:rsidP="002B2BAC">
            <w:pPr>
              <w:pStyle w:val="CMSExhibit7"/>
              <w:spacing w:line="240" w:lineRule="auto"/>
              <w:ind w:left="0"/>
              <w:jc w:val="left"/>
            </w:pPr>
            <w:r>
              <w:t>Yemen</w:t>
            </w:r>
          </w:p>
        </w:tc>
        <w:tc>
          <w:tcPr>
            <w:tcW w:w="2247" w:type="dxa"/>
          </w:tcPr>
          <w:p w14:paraId="66BB68EC" w14:textId="77777777" w:rsidR="002B2BAC" w:rsidRDefault="002B2BAC" w:rsidP="002B2BAC">
            <w:pPr>
              <w:pStyle w:val="CMSExhibit7"/>
              <w:spacing w:line="240" w:lineRule="auto"/>
              <w:ind w:left="0"/>
            </w:pPr>
            <w:r>
              <w:t>0</w:t>
            </w:r>
          </w:p>
        </w:tc>
        <w:tc>
          <w:tcPr>
            <w:tcW w:w="2393" w:type="dxa"/>
          </w:tcPr>
          <w:p w14:paraId="3EB50259" w14:textId="77777777" w:rsidR="002B2BAC" w:rsidRDefault="002B2BAC" w:rsidP="002B2BAC">
            <w:pPr>
              <w:pStyle w:val="CMSExhibit7"/>
              <w:spacing w:line="240" w:lineRule="auto"/>
              <w:ind w:left="0"/>
            </w:pPr>
            <w:r>
              <w:t>0</w:t>
            </w:r>
          </w:p>
        </w:tc>
      </w:tr>
    </w:tbl>
    <w:p w14:paraId="307B0C3F" w14:textId="77777777" w:rsidR="002B2BAC" w:rsidRDefault="002B2BAC" w:rsidP="002B2BAC">
      <w:pPr>
        <w:pStyle w:val="CMSExhibit7"/>
      </w:pPr>
    </w:p>
    <w:p w14:paraId="7B91A8F8" w14:textId="63AD2270" w:rsidR="002B2BAC" w:rsidRDefault="002B2BAC" w:rsidP="002B2BAC">
      <w:pPr>
        <w:pStyle w:val="CMSExhibit7"/>
      </w:pPr>
      <w:r>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14:paraId="1E0C3B5D" w14:textId="76E126FE"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14:paraId="324F24D8" w14:textId="75FE78A2" w:rsidR="002B2BAC" w:rsidRDefault="002B2BAC">
      <w:pPr>
        <w:pStyle w:val="CMSExhibit7"/>
      </w:pPr>
      <w:r>
        <w:t>Die Risikoeinstufung hinsichtlich der länderspezifischen Risiken wird daher als insgesamt gering eingestuft.</w:t>
      </w:r>
    </w:p>
    <w:p w14:paraId="63573DF5" w14:textId="77777777" w:rsidR="00351B3A" w:rsidRDefault="00351B3A" w:rsidP="006F1C5F">
      <w:pPr>
        <w:pStyle w:val="CMSExhibit7"/>
        <w:ind w:left="0"/>
      </w:pPr>
    </w:p>
    <w:p w14:paraId="0667E1C4" w14:textId="77777777" w:rsidR="00DB6055" w:rsidRDefault="00DB6055" w:rsidP="00DB6055">
      <w:pPr>
        <w:pStyle w:val="CMSHeading4"/>
      </w:pPr>
      <w:r>
        <w:t>Mandantenspezifische Risiken</w:t>
      </w:r>
    </w:p>
    <w:p w14:paraId="5A4CD752" w14:textId="77777777" w:rsidR="00DB6055" w:rsidRDefault="00DB6055" w:rsidP="00DB6055">
      <w:pPr>
        <w:pStyle w:val="CMSHeading4"/>
        <w:numPr>
          <w:ilvl w:val="0"/>
          <w:numId w:val="0"/>
        </w:numPr>
        <w:ind w:left="1134" w:hanging="567"/>
      </w:pPr>
    </w:p>
    <w:p w14:paraId="50ED4AB1" w14:textId="2F45D3A3"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14:paraId="3A574357" w14:textId="77777777"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14:paraId="0DFEA98D" w14:textId="77777777" w:rsidTr="006F1C5F">
        <w:tc>
          <w:tcPr>
            <w:tcW w:w="3794" w:type="dxa"/>
          </w:tcPr>
          <w:p w14:paraId="40BF2EAE" w14:textId="77777777" w:rsidR="00DB6055" w:rsidRPr="005D5A25" w:rsidRDefault="00DB6055" w:rsidP="006F1C5F">
            <w:pPr>
              <w:pStyle w:val="CMSExhibit7"/>
              <w:spacing w:line="240" w:lineRule="auto"/>
              <w:ind w:left="0"/>
              <w:jc w:val="left"/>
            </w:pPr>
            <w:r w:rsidRPr="005D5A25">
              <w:t>Mandantengruppen</w:t>
            </w:r>
          </w:p>
        </w:tc>
        <w:tc>
          <w:tcPr>
            <w:tcW w:w="2693" w:type="dxa"/>
          </w:tcPr>
          <w:p w14:paraId="016EAD65" w14:textId="3E551D40"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14:paraId="03CEFC6C" w14:textId="77777777" w:rsidTr="006F1C5F">
        <w:tc>
          <w:tcPr>
            <w:tcW w:w="3794" w:type="dxa"/>
          </w:tcPr>
          <w:p w14:paraId="7DBB3FFD" w14:textId="3E66CE32" w:rsidR="00DB6055" w:rsidRPr="005D5A25" w:rsidRDefault="00DB6055" w:rsidP="006F1C5F">
            <w:pPr>
              <w:pStyle w:val="CMSExhibit7"/>
              <w:spacing w:line="240" w:lineRule="auto"/>
              <w:ind w:left="0"/>
              <w:jc w:val="left"/>
            </w:pPr>
            <w:r w:rsidRPr="005D5A25">
              <w:t>Privatkunden</w:t>
            </w:r>
          </w:p>
        </w:tc>
        <w:tc>
          <w:tcPr>
            <w:tcW w:w="2693" w:type="dxa"/>
          </w:tcPr>
          <w:p w14:paraId="1392DA57" w14:textId="7F9FDA7B" w:rsidR="00DB6055" w:rsidRPr="005D5A25" w:rsidRDefault="00DB6055" w:rsidP="006F1C5F">
            <w:pPr>
              <w:pStyle w:val="CMSExhibit7"/>
              <w:spacing w:line="240" w:lineRule="auto"/>
              <w:ind w:left="0"/>
            </w:pPr>
          </w:p>
        </w:tc>
      </w:tr>
      <w:tr w:rsidR="00DB6055" w14:paraId="695F131A" w14:textId="77777777" w:rsidTr="006F1C5F">
        <w:tc>
          <w:tcPr>
            <w:tcW w:w="3794" w:type="dxa"/>
          </w:tcPr>
          <w:p w14:paraId="36B67348" w14:textId="77777777" w:rsidR="00DB6055" w:rsidRPr="005D5A25" w:rsidRDefault="00DB6055" w:rsidP="006F1C5F">
            <w:pPr>
              <w:pStyle w:val="CMSExhibit7"/>
              <w:spacing w:line="240" w:lineRule="auto"/>
              <w:ind w:left="0"/>
              <w:jc w:val="left"/>
            </w:pPr>
            <w:r w:rsidRPr="005D5A25">
              <w:t>Gesellschafter / Geschäftsführer</w:t>
            </w:r>
          </w:p>
        </w:tc>
        <w:tc>
          <w:tcPr>
            <w:tcW w:w="2693" w:type="dxa"/>
          </w:tcPr>
          <w:p w14:paraId="107165E7" w14:textId="328D9D5E" w:rsidR="00DB6055" w:rsidRPr="005D5A25" w:rsidRDefault="00DB6055" w:rsidP="006F1C5F">
            <w:pPr>
              <w:pStyle w:val="CMSExhibit7"/>
              <w:spacing w:line="240" w:lineRule="auto"/>
              <w:ind w:left="0"/>
            </w:pPr>
          </w:p>
        </w:tc>
      </w:tr>
      <w:tr w:rsidR="00DB6055" w14:paraId="33A00CCA" w14:textId="77777777" w:rsidTr="006F1C5F">
        <w:tc>
          <w:tcPr>
            <w:tcW w:w="3794" w:type="dxa"/>
          </w:tcPr>
          <w:p w14:paraId="7F6CB185" w14:textId="77777777" w:rsidR="00DB6055" w:rsidRPr="005D5A25" w:rsidRDefault="00DB6055" w:rsidP="006F1C5F">
            <w:pPr>
              <w:pStyle w:val="CMSExhibit7"/>
              <w:spacing w:line="240" w:lineRule="auto"/>
              <w:ind w:left="0"/>
              <w:jc w:val="left"/>
            </w:pPr>
            <w:r w:rsidRPr="005D5A25">
              <w:t>Politisch exponierte Personen (PEP)</w:t>
            </w:r>
          </w:p>
        </w:tc>
        <w:tc>
          <w:tcPr>
            <w:tcW w:w="2693" w:type="dxa"/>
          </w:tcPr>
          <w:p w14:paraId="07E33CCC" w14:textId="7DDADC36" w:rsidR="00DB6055" w:rsidRPr="005D5A25" w:rsidRDefault="00DB6055" w:rsidP="006F1C5F">
            <w:pPr>
              <w:pStyle w:val="CMSExhibit7"/>
              <w:spacing w:line="240" w:lineRule="auto"/>
              <w:ind w:left="0"/>
            </w:pPr>
          </w:p>
        </w:tc>
      </w:tr>
      <w:tr w:rsidR="00DB6055" w14:paraId="1998B68E" w14:textId="77777777" w:rsidTr="006F1C5F">
        <w:tc>
          <w:tcPr>
            <w:tcW w:w="3794" w:type="dxa"/>
          </w:tcPr>
          <w:p w14:paraId="1E178171" w14:textId="77777777" w:rsidR="00DB6055" w:rsidRPr="005D5A25" w:rsidRDefault="00DB6055" w:rsidP="006F1C5F">
            <w:pPr>
              <w:pStyle w:val="CMSExhibit7"/>
              <w:spacing w:line="240" w:lineRule="auto"/>
              <w:ind w:left="0"/>
              <w:jc w:val="left"/>
            </w:pPr>
            <w:r w:rsidRPr="005D5A25">
              <w:t>Personengesellschaften</w:t>
            </w:r>
          </w:p>
        </w:tc>
        <w:tc>
          <w:tcPr>
            <w:tcW w:w="2693" w:type="dxa"/>
          </w:tcPr>
          <w:p w14:paraId="06CDA0A6" w14:textId="503F053E" w:rsidR="00DB6055" w:rsidRPr="005D5A25" w:rsidRDefault="00DB6055" w:rsidP="006F1C5F">
            <w:pPr>
              <w:pStyle w:val="CMSExhibit7"/>
              <w:spacing w:line="240" w:lineRule="auto"/>
              <w:ind w:left="0"/>
            </w:pPr>
          </w:p>
        </w:tc>
      </w:tr>
      <w:tr w:rsidR="00DB6055" w14:paraId="2A7C9603" w14:textId="77777777" w:rsidTr="006F1C5F">
        <w:tc>
          <w:tcPr>
            <w:tcW w:w="3794" w:type="dxa"/>
          </w:tcPr>
          <w:p w14:paraId="12A02C8C" w14:textId="77777777" w:rsidR="00DB6055" w:rsidRPr="005D5A25" w:rsidRDefault="00DB6055" w:rsidP="006F1C5F">
            <w:pPr>
              <w:pStyle w:val="CMSExhibit7"/>
              <w:spacing w:line="240" w:lineRule="auto"/>
              <w:ind w:left="0"/>
              <w:jc w:val="left"/>
            </w:pPr>
            <w:r w:rsidRPr="005D5A25">
              <w:t>Kapitalgesellschaften</w:t>
            </w:r>
          </w:p>
        </w:tc>
        <w:tc>
          <w:tcPr>
            <w:tcW w:w="2693" w:type="dxa"/>
          </w:tcPr>
          <w:p w14:paraId="25D9AADD" w14:textId="1CB8FEA8" w:rsidR="00DB6055" w:rsidRPr="005D5A25" w:rsidRDefault="00DB6055" w:rsidP="006F1C5F">
            <w:pPr>
              <w:pStyle w:val="CMSExhibit7"/>
              <w:spacing w:line="240" w:lineRule="auto"/>
              <w:ind w:left="0"/>
            </w:pPr>
          </w:p>
        </w:tc>
      </w:tr>
      <w:tr w:rsidR="00DB6055" w14:paraId="4EB6DC7E" w14:textId="77777777" w:rsidTr="006F1C5F">
        <w:tc>
          <w:tcPr>
            <w:tcW w:w="3794" w:type="dxa"/>
          </w:tcPr>
          <w:p w14:paraId="0893ADA3" w14:textId="77777777" w:rsidR="00DB6055" w:rsidRPr="005D5A25" w:rsidRDefault="00DB6055" w:rsidP="006F1C5F">
            <w:pPr>
              <w:pStyle w:val="CMSExhibit7"/>
              <w:spacing w:line="240" w:lineRule="auto"/>
              <w:ind w:left="0"/>
              <w:jc w:val="left"/>
            </w:pPr>
            <w:r w:rsidRPr="005D5A25">
              <w:t>Börsennotierte Gesellschaften</w:t>
            </w:r>
          </w:p>
        </w:tc>
        <w:tc>
          <w:tcPr>
            <w:tcW w:w="2693" w:type="dxa"/>
          </w:tcPr>
          <w:p w14:paraId="2478F0B4" w14:textId="000E326D" w:rsidR="00DB6055" w:rsidRPr="005D5A25" w:rsidRDefault="00DB6055" w:rsidP="006F1C5F">
            <w:pPr>
              <w:pStyle w:val="CMSExhibit7"/>
              <w:spacing w:line="240" w:lineRule="auto"/>
              <w:ind w:left="0"/>
            </w:pPr>
          </w:p>
        </w:tc>
      </w:tr>
      <w:tr w:rsidR="00DB6055" w14:paraId="1EC96AED" w14:textId="77777777" w:rsidTr="006F1C5F">
        <w:tc>
          <w:tcPr>
            <w:tcW w:w="3794" w:type="dxa"/>
          </w:tcPr>
          <w:p w14:paraId="5835A2F7" w14:textId="77777777" w:rsidR="00DB6055" w:rsidRPr="005D5A25" w:rsidRDefault="00DB6055" w:rsidP="006F1C5F">
            <w:pPr>
              <w:pStyle w:val="CMSExhibit7"/>
              <w:spacing w:line="240" w:lineRule="auto"/>
              <w:ind w:left="0"/>
              <w:jc w:val="left"/>
            </w:pPr>
            <w:r w:rsidRPr="005D5A25">
              <w:t>Öffentliche Hand</w:t>
            </w:r>
          </w:p>
        </w:tc>
        <w:tc>
          <w:tcPr>
            <w:tcW w:w="2693" w:type="dxa"/>
          </w:tcPr>
          <w:p w14:paraId="1CB9CBBA" w14:textId="3BB12656" w:rsidR="00DB6055" w:rsidRPr="005D5A25" w:rsidRDefault="00DB6055" w:rsidP="006F1C5F">
            <w:pPr>
              <w:pStyle w:val="CMSExhibit7"/>
              <w:spacing w:line="240" w:lineRule="auto"/>
              <w:ind w:left="0"/>
            </w:pPr>
          </w:p>
        </w:tc>
      </w:tr>
      <w:tr w:rsidR="00DB6055" w14:paraId="2F113928" w14:textId="77777777" w:rsidTr="006F1C5F">
        <w:tc>
          <w:tcPr>
            <w:tcW w:w="3794" w:type="dxa"/>
          </w:tcPr>
          <w:p w14:paraId="3017BD19" w14:textId="77777777" w:rsidR="00DB6055" w:rsidRPr="005D5A25" w:rsidRDefault="00DB6055" w:rsidP="006F1C5F">
            <w:pPr>
              <w:pStyle w:val="CMSExhibit7"/>
              <w:spacing w:line="240" w:lineRule="auto"/>
              <w:ind w:left="0"/>
              <w:jc w:val="left"/>
            </w:pPr>
            <w:r w:rsidRPr="005D5A25">
              <w:t>Investoren</w:t>
            </w:r>
          </w:p>
        </w:tc>
        <w:tc>
          <w:tcPr>
            <w:tcW w:w="2693" w:type="dxa"/>
          </w:tcPr>
          <w:p w14:paraId="19BE2800" w14:textId="16188790" w:rsidR="00DB6055" w:rsidRPr="005D5A25" w:rsidRDefault="00DB6055" w:rsidP="006F1C5F">
            <w:pPr>
              <w:pStyle w:val="CMSExhibit7"/>
              <w:spacing w:line="240" w:lineRule="auto"/>
              <w:ind w:left="0"/>
            </w:pPr>
          </w:p>
        </w:tc>
      </w:tr>
      <w:tr w:rsidR="00DB6055" w14:paraId="0F4AFEB3" w14:textId="77777777" w:rsidTr="006F1C5F">
        <w:tc>
          <w:tcPr>
            <w:tcW w:w="3794" w:type="dxa"/>
          </w:tcPr>
          <w:p w14:paraId="42CA6D00" w14:textId="19479970" w:rsidR="00DB6055" w:rsidRPr="005D5A25" w:rsidRDefault="0010752C" w:rsidP="006F1C5F">
            <w:pPr>
              <w:pStyle w:val="CMSExhibit7"/>
              <w:spacing w:line="240" w:lineRule="auto"/>
              <w:ind w:left="0"/>
              <w:jc w:val="left"/>
            </w:pPr>
            <w:r w:rsidRPr="005D5A25">
              <w:t>Stiftungen</w:t>
            </w:r>
          </w:p>
        </w:tc>
        <w:tc>
          <w:tcPr>
            <w:tcW w:w="2693" w:type="dxa"/>
          </w:tcPr>
          <w:p w14:paraId="6AC47F0D" w14:textId="46156A04" w:rsidR="00DB6055" w:rsidRPr="005D5A25" w:rsidRDefault="00DB6055" w:rsidP="006F1C5F">
            <w:pPr>
              <w:pStyle w:val="CMSExhibit7"/>
              <w:spacing w:line="240" w:lineRule="auto"/>
              <w:ind w:left="0"/>
            </w:pPr>
          </w:p>
        </w:tc>
      </w:tr>
      <w:tr w:rsidR="00DC0BA9" w14:paraId="0CA66899" w14:textId="77777777" w:rsidTr="006F1C5F">
        <w:tc>
          <w:tcPr>
            <w:tcW w:w="3794" w:type="dxa"/>
          </w:tcPr>
          <w:p w14:paraId="637C8D99" w14:textId="7E46266C" w:rsidR="00DC0BA9" w:rsidRPr="005D5A25" w:rsidRDefault="0010752C" w:rsidP="006F1C5F">
            <w:pPr>
              <w:pStyle w:val="CMSExhibit7"/>
              <w:spacing w:line="240" w:lineRule="auto"/>
              <w:ind w:left="0"/>
              <w:jc w:val="left"/>
            </w:pPr>
            <w:r w:rsidRPr="005D5A25">
              <w:t>Fonds</w:t>
            </w:r>
          </w:p>
        </w:tc>
        <w:tc>
          <w:tcPr>
            <w:tcW w:w="2693" w:type="dxa"/>
          </w:tcPr>
          <w:p w14:paraId="3C510E82" w14:textId="3E90F8F7" w:rsidR="00DC0BA9" w:rsidRPr="005D5A25" w:rsidRDefault="00DC0BA9" w:rsidP="006F1C5F">
            <w:pPr>
              <w:pStyle w:val="CMSExhibit7"/>
              <w:spacing w:line="240" w:lineRule="auto"/>
              <w:ind w:left="0"/>
            </w:pPr>
          </w:p>
        </w:tc>
      </w:tr>
      <w:tr w:rsidR="0010752C" w14:paraId="091824BD" w14:textId="77777777" w:rsidTr="006F1C5F">
        <w:tc>
          <w:tcPr>
            <w:tcW w:w="3794" w:type="dxa"/>
          </w:tcPr>
          <w:p w14:paraId="46F34FDB" w14:textId="6024486C" w:rsidR="0010752C" w:rsidRPr="005D5A25" w:rsidRDefault="00460F2D" w:rsidP="006F1C5F">
            <w:pPr>
              <w:pStyle w:val="CMSExhibit7"/>
              <w:spacing w:line="240" w:lineRule="auto"/>
              <w:ind w:left="0"/>
              <w:jc w:val="left"/>
            </w:pPr>
            <w:r w:rsidRPr="005D5A25">
              <w:t>Trusts</w:t>
            </w:r>
          </w:p>
        </w:tc>
        <w:tc>
          <w:tcPr>
            <w:tcW w:w="2693" w:type="dxa"/>
          </w:tcPr>
          <w:p w14:paraId="7F4B5C12" w14:textId="5AABE994" w:rsidR="0010752C" w:rsidRPr="005D5A25" w:rsidRDefault="0010752C" w:rsidP="006F1C5F">
            <w:pPr>
              <w:pStyle w:val="CMSExhibit7"/>
              <w:spacing w:line="240" w:lineRule="auto"/>
              <w:ind w:left="0"/>
            </w:pPr>
          </w:p>
        </w:tc>
      </w:tr>
      <w:tr w:rsidR="00E06A24" w14:paraId="31E14884" w14:textId="77777777" w:rsidTr="006F1C5F">
        <w:tc>
          <w:tcPr>
            <w:tcW w:w="3794" w:type="dxa"/>
          </w:tcPr>
          <w:p w14:paraId="3E35D1EE" w14:textId="09012B02" w:rsidR="00E06A24" w:rsidRPr="005D5A25" w:rsidRDefault="00BA2603" w:rsidP="006F1C5F">
            <w:pPr>
              <w:pStyle w:val="CMSExhibit7"/>
              <w:spacing w:line="240" w:lineRule="auto"/>
              <w:ind w:left="0"/>
              <w:jc w:val="left"/>
            </w:pPr>
            <w:r w:rsidRPr="005D5A25">
              <w:t>Unternehmen mit nominellen Anteilseignern / Inhaberpapieren</w:t>
            </w:r>
            <w:r w:rsidR="0044195C">
              <w:t xml:space="preserve"> (vgl. Anlage 2 GwG</w:t>
            </w:r>
            <w:r w:rsidR="009A5177" w:rsidRPr="006F1C5F">
              <w:t xml:space="preserve">) </w:t>
            </w:r>
          </w:p>
        </w:tc>
        <w:tc>
          <w:tcPr>
            <w:tcW w:w="2693" w:type="dxa"/>
          </w:tcPr>
          <w:p w14:paraId="31C37160" w14:textId="102CC868" w:rsidR="00E06A24" w:rsidRPr="005D5A25" w:rsidRDefault="00E06A24" w:rsidP="006F1C5F">
            <w:pPr>
              <w:pStyle w:val="CMSExhibit7"/>
              <w:spacing w:line="240" w:lineRule="auto"/>
              <w:ind w:left="0"/>
            </w:pPr>
          </w:p>
        </w:tc>
      </w:tr>
    </w:tbl>
    <w:p w14:paraId="373F443E" w14:textId="77777777" w:rsidR="00DC0BA9" w:rsidRDefault="00DC0BA9" w:rsidP="00DC0BA9">
      <w:pPr>
        <w:pStyle w:val="CMSExhibit7"/>
      </w:pPr>
    </w:p>
    <w:p w14:paraId="262FE0E8" w14:textId="149E44B7" w:rsidR="00400167" w:rsidRDefault="00400167">
      <w:pPr>
        <w:pStyle w:val="CMSExhibit7"/>
      </w:pPr>
      <w:r w:rsidRPr="004D60E2">
        <w:t>Viele Mandanten sind langjährige Dauermandanten, die selbst oder deren Entscheider teils persönlich bekannt sind</w:t>
      </w:r>
      <w:r>
        <w:t xml:space="preserve"> und zu denen vereinzelt intensive persönliche Kontakte bestehen</w:t>
      </w:r>
      <w:r w:rsidRPr="004D60E2">
        <w:t xml:space="preserve">. Reine Fernmandate sind dagegen selten. Bei den Unternehmen dominieren mittelständische und große Unternehmen. </w:t>
      </w:r>
      <w:r w:rsidR="007E0C76">
        <w:rPr>
          <w:i/>
        </w:rPr>
        <w:t>Beispielsfrau &amp; Mustermann</w:t>
      </w:r>
      <w:r w:rsidR="00537671" w:rsidRPr="00964329">
        <w:rPr>
          <w:i/>
        </w:rPr>
        <w:t xml:space="preserve"> </w:t>
      </w:r>
      <w:r w:rsidRPr="004D60E2">
        <w:t>betreut auch börsennotierte Unternehmen sowie die öffentliche Hand.</w:t>
      </w:r>
    </w:p>
    <w:p w14:paraId="76BAFCFA" w14:textId="2306F703" w:rsidR="0051416C" w:rsidRDefault="00DC0BA9">
      <w:pPr>
        <w:pStyle w:val="CMSExhibit7"/>
      </w:pPr>
      <w:r>
        <w:t xml:space="preserve">Die Risikoexposition kann im Ergebnis für alle Mandantengruppen als </w:t>
      </w:r>
      <w:r w:rsidR="00B12B42">
        <w:t xml:space="preserve">insgesamt </w:t>
      </w:r>
      <w:r>
        <w:t xml:space="preserve">gering eingestuft werden. 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14:paraId="7754B46A" w14:textId="77777777" w:rsidR="00460F2D" w:rsidRDefault="00460F2D" w:rsidP="002E09A2">
      <w:pPr>
        <w:pStyle w:val="CMSExhibit7"/>
      </w:pPr>
    </w:p>
    <w:p w14:paraId="5A924168" w14:textId="712F7AFC" w:rsidR="007A369A" w:rsidRDefault="00F813DA" w:rsidP="006F1C5F">
      <w:pPr>
        <w:pStyle w:val="CMSHeading4"/>
      </w:pPr>
      <w:r>
        <w:t>Zusammenfassung Mandantenstruktur</w:t>
      </w:r>
    </w:p>
    <w:p w14:paraId="51CE6DBC" w14:textId="657FA9B0" w:rsidR="00460F2D" w:rsidRDefault="005034DB">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gering einzustufen ist.</w:t>
      </w:r>
    </w:p>
    <w:p w14:paraId="5A4F9280" w14:textId="77777777" w:rsidR="002E09A2" w:rsidRDefault="002E09A2" w:rsidP="006F1C5F">
      <w:pPr>
        <w:pStyle w:val="CMSExhibit7"/>
        <w:ind w:left="0"/>
      </w:pPr>
    </w:p>
    <w:p w14:paraId="3BE7DE0D" w14:textId="77777777" w:rsidR="005E6E95" w:rsidRDefault="005E6E95" w:rsidP="006F1C5F">
      <w:pPr>
        <w:pStyle w:val="CMSExhibit7"/>
        <w:ind w:left="0"/>
      </w:pPr>
    </w:p>
    <w:p w14:paraId="34A0E81A" w14:textId="1A206E06" w:rsidR="006763B1" w:rsidRPr="002433E4" w:rsidRDefault="002A04AD" w:rsidP="002433E4">
      <w:pPr>
        <w:pStyle w:val="CMSHeading3"/>
        <w:rPr>
          <w:b w:val="0"/>
        </w:rPr>
      </w:pPr>
      <w:bookmarkStart w:id="6" w:name="_Toc28008496"/>
      <w:r>
        <w:t>Mandatsstruktur (Geschäftsrisiko)</w:t>
      </w:r>
      <w:bookmarkEnd w:id="6"/>
    </w:p>
    <w:p w14:paraId="52D6EFC1" w14:textId="30FBB981"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14:paraId="6C92B1AC" w14:textId="349E24C5"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 xml:space="preserve">ndungs- und Finanzierungsberatung. </w:t>
      </w:r>
      <w:r w:rsidR="001426D9">
        <w:t xml:space="preserve">Die Anzahl der </w:t>
      </w:r>
      <w:r w:rsidR="00C338D8">
        <w:t>Mandate</w:t>
      </w:r>
      <w:r w:rsidR="001426D9">
        <w:t xml:space="preserve">, die im Zeitraum Januar </w:t>
      </w:r>
      <w:r w:rsidR="00C338D8">
        <w:t>XXX</w:t>
      </w:r>
      <w:r w:rsidR="001426D9">
        <w:t xml:space="preserve"> bis </w:t>
      </w:r>
      <w:r w:rsidR="001C254F">
        <w:t>Dezember</w:t>
      </w:r>
      <w:r w:rsidR="001426D9">
        <w:t xml:space="preserve"> </w:t>
      </w:r>
      <w:r w:rsidR="00C338D8">
        <w:t>XXX</w:t>
      </w:r>
      <w:r w:rsidR="001426D9">
        <w:t xml:space="preserve"> als sog. Katalogmandate angelegt wurden, belief sich auf </w:t>
      </w:r>
      <w:r w:rsidR="00537671">
        <w:t>XXXX</w:t>
      </w:r>
      <w:r w:rsidR="001426D9">
        <w:t xml:space="preserve">. Dies entspricht ca. </w:t>
      </w:r>
      <w:r w:rsidR="00537671">
        <w:t>XXX</w:t>
      </w:r>
      <w:r w:rsidR="001426D9">
        <w:t>% aller in diesem Zeitraum angelegten Akten.</w:t>
      </w:r>
    </w:p>
    <w:p w14:paraId="26DC4B7E" w14:textId="0061B5E0" w:rsidR="004E508A" w:rsidRDefault="00280E07" w:rsidP="00667881">
      <w:pPr>
        <w:pStyle w:val="CMSExhibit7"/>
      </w:pPr>
      <w:r>
        <w:t xml:space="preserve">Weite Teile dieser Beratungsgebiete sind nicht als Kataloggeschäfte einzustufen (z.B. Prozessführung, Marken- und Wettbewerbsrecht, Arbeitsrecht). </w:t>
      </w:r>
    </w:p>
    <w:p w14:paraId="4F494239" w14:textId="56D83DEE"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14:paraId="373E629E" w14:textId="77777777"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14:paraId="26A0B1DA" w14:textId="77777777" w:rsidTr="006F1C5F">
        <w:tc>
          <w:tcPr>
            <w:tcW w:w="3794" w:type="dxa"/>
          </w:tcPr>
          <w:p w14:paraId="3129679D" w14:textId="44EA25A5"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14:paraId="5E4F6348" w14:textId="2EE50E8F"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14:paraId="74D5C92A" w14:textId="77777777" w:rsidTr="006F1C5F">
        <w:tc>
          <w:tcPr>
            <w:tcW w:w="3794" w:type="dxa"/>
          </w:tcPr>
          <w:p w14:paraId="7DD3B2DC" w14:textId="2B8A8E85" w:rsidR="00310B42" w:rsidRPr="005D5A25" w:rsidRDefault="00817B7D" w:rsidP="00E146EC">
            <w:pPr>
              <w:pStyle w:val="CMSExhibit7"/>
              <w:spacing w:line="240" w:lineRule="auto"/>
              <w:ind w:left="0"/>
              <w:jc w:val="left"/>
            </w:pPr>
            <w:r>
              <w:t>Tätigkeitsfeld  1</w:t>
            </w:r>
          </w:p>
        </w:tc>
        <w:tc>
          <w:tcPr>
            <w:tcW w:w="2835" w:type="dxa"/>
          </w:tcPr>
          <w:p w14:paraId="32800893" w14:textId="41708E71" w:rsidR="00310B42" w:rsidRPr="005D5A25" w:rsidRDefault="00310B42" w:rsidP="006F1C5F">
            <w:pPr>
              <w:pStyle w:val="CMSExhibit7"/>
              <w:spacing w:line="240" w:lineRule="auto"/>
              <w:ind w:left="0"/>
            </w:pPr>
            <w:r w:rsidRPr="005D5A25">
              <w:t>Gering</w:t>
            </w:r>
          </w:p>
        </w:tc>
      </w:tr>
      <w:tr w:rsidR="00310B42" w14:paraId="053B1ED7" w14:textId="77777777" w:rsidTr="006F1C5F">
        <w:tc>
          <w:tcPr>
            <w:tcW w:w="3794" w:type="dxa"/>
          </w:tcPr>
          <w:p w14:paraId="48934153" w14:textId="7D8A572F" w:rsidR="00310B42" w:rsidRPr="005D5A25" w:rsidRDefault="00817B7D" w:rsidP="006F1C5F">
            <w:pPr>
              <w:pStyle w:val="CMSExhibit7"/>
              <w:spacing w:line="240" w:lineRule="auto"/>
              <w:ind w:left="0"/>
              <w:jc w:val="left"/>
            </w:pPr>
            <w:r>
              <w:t>Bereich 2</w:t>
            </w:r>
          </w:p>
        </w:tc>
        <w:tc>
          <w:tcPr>
            <w:tcW w:w="2835" w:type="dxa"/>
          </w:tcPr>
          <w:p w14:paraId="6663297A" w14:textId="3F3FA23B" w:rsidR="00310B42" w:rsidRPr="005D5A25" w:rsidRDefault="00817B7D" w:rsidP="006F1C5F">
            <w:pPr>
              <w:pStyle w:val="CMSExhibit7"/>
              <w:spacing w:line="240" w:lineRule="auto"/>
              <w:ind w:left="0"/>
            </w:pPr>
            <w:r>
              <w:t>Mittel</w:t>
            </w:r>
          </w:p>
        </w:tc>
      </w:tr>
    </w:tbl>
    <w:p w14:paraId="487E5255" w14:textId="77777777" w:rsidR="00A57347" w:rsidRDefault="00A57347" w:rsidP="005E6E95">
      <w:pPr>
        <w:pStyle w:val="CMSExhibit7"/>
        <w:rPr>
          <w:lang w:val="en-US"/>
        </w:rPr>
      </w:pPr>
    </w:p>
    <w:p w14:paraId="3D4364C3" w14:textId="579E1363" w:rsidR="00E56E76" w:rsidRPr="006F1C5F"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14:paraId="5842EC85" w14:textId="77777777" w:rsidR="00FC1D39" w:rsidRPr="00DB6055" w:rsidRDefault="00FC1D39" w:rsidP="005E6E95">
      <w:pPr>
        <w:pStyle w:val="CMSExhibit7"/>
      </w:pPr>
    </w:p>
    <w:p w14:paraId="22633292" w14:textId="31ED0E87" w:rsidR="005629EF" w:rsidRPr="005629EF" w:rsidRDefault="00EE320F" w:rsidP="005629EF">
      <w:pPr>
        <w:pStyle w:val="CMSHeading3"/>
      </w:pPr>
      <w:r>
        <w:t xml:space="preserve"> </w:t>
      </w:r>
      <w:bookmarkStart w:id="7" w:name="_Toc504988642"/>
      <w:bookmarkStart w:id="8" w:name="_Toc504990417"/>
      <w:bookmarkStart w:id="9" w:name="_Toc505008464"/>
      <w:bookmarkStart w:id="10" w:name="_Toc28008497"/>
      <w:bookmarkEnd w:id="7"/>
      <w:bookmarkEnd w:id="8"/>
      <w:bookmarkEnd w:id="9"/>
      <w:r w:rsidR="005629EF">
        <w:t>Trans</w:t>
      </w:r>
      <w:r w:rsidR="002A04AD">
        <w:t>aktionsstruktur</w:t>
      </w:r>
      <w:bookmarkEnd w:id="10"/>
    </w:p>
    <w:p w14:paraId="1D83D7EB" w14:textId="77777777" w:rsidR="00FC1D39" w:rsidRDefault="00FC1D39" w:rsidP="00FC1D39">
      <w:pPr>
        <w:pStyle w:val="CMSIndent3"/>
      </w:pPr>
    </w:p>
    <w:p w14:paraId="340FB945" w14:textId="09DE9518"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nahezu ausschließlich </w:t>
      </w:r>
      <w:r w:rsidR="00FC1D39">
        <w:t xml:space="preserve">per </w:t>
      </w:r>
      <w:r w:rsidR="00C34BCD">
        <w:t>Bank</w:t>
      </w:r>
      <w:r w:rsidR="00286547">
        <w:t>ü</w:t>
      </w:r>
      <w:r w:rsidR="00FC1D39">
        <w:t xml:space="preserve">berweisung bezahlt. Barzahlungen oder Zahlungen per Scheck kommen </w:t>
      </w:r>
      <w:r w:rsidR="007C4D06">
        <w:t xml:space="preserve">hingegen </w:t>
      </w:r>
      <w:r w:rsidR="00FC1D39">
        <w:t>fast nie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FC1D39">
        <w:t>).</w:t>
      </w:r>
      <w:r w:rsidR="007C4D06">
        <w:t xml:space="preserve"> </w:t>
      </w:r>
    </w:p>
    <w:p w14:paraId="586BF20C" w14:textId="77777777" w:rsidR="00F82BBB" w:rsidRDefault="00F82BBB" w:rsidP="006F1C5F">
      <w:pPr>
        <w:pStyle w:val="CMSIndent3"/>
        <w:jc w:val="both"/>
      </w:pPr>
    </w:p>
    <w:p w14:paraId="0736A46F" w14:textId="401E030E" w:rsidR="002774EF" w:rsidRDefault="00EB0A79" w:rsidP="006F1C5F">
      <w:pPr>
        <w:pStyle w:val="CMSIndent3"/>
        <w:jc w:val="both"/>
      </w:pPr>
      <w:r>
        <w:t>Banküberweisungen erfolgen ganz überwiegend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14:paraId="26188CC8" w14:textId="77777777" w:rsidR="003E2CC8" w:rsidRDefault="003E2CC8" w:rsidP="006F1C5F">
      <w:pPr>
        <w:pStyle w:val="CMSIndent3"/>
        <w:ind w:left="0"/>
        <w:jc w:val="both"/>
      </w:pPr>
    </w:p>
    <w:p w14:paraId="2CA5AC8F" w14:textId="77777777" w:rsidR="002774EF" w:rsidRDefault="002774EF" w:rsidP="00FC1D39">
      <w:pPr>
        <w:pStyle w:val="CMSIndent3"/>
      </w:pPr>
    </w:p>
    <w:p w14:paraId="7654BFC4" w14:textId="5A670C22" w:rsidR="002E09A2" w:rsidRDefault="00AC59E5" w:rsidP="002E09A2">
      <w:pPr>
        <w:pStyle w:val="CMSHeading3"/>
      </w:pPr>
      <w:bookmarkStart w:id="11" w:name="_Toc28008498"/>
      <w:r>
        <w:t>Geographische Faktoren</w:t>
      </w:r>
      <w:bookmarkEnd w:id="11"/>
    </w:p>
    <w:p w14:paraId="16DDA5CE" w14:textId="77777777" w:rsidR="003E2CC8" w:rsidRDefault="003E2CC8" w:rsidP="006F1C5F">
      <w:pPr>
        <w:pStyle w:val="CMSIndent3"/>
      </w:pPr>
    </w:p>
    <w:p w14:paraId="2B197A34" w14:textId="3A00CAE4" w:rsidR="00AC59E5" w:rsidRDefault="00AC59E5" w:rsidP="00A677F5">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14:paraId="0B71F47C" w14:textId="77777777" w:rsidR="00AC59E5" w:rsidRDefault="00AC59E5" w:rsidP="00AC59E5">
      <w:pPr>
        <w:pStyle w:val="CMSIndent3"/>
      </w:pPr>
    </w:p>
    <w:p w14:paraId="2DBCF97D" w14:textId="77777777" w:rsidR="00AC59E5" w:rsidRDefault="00AC59E5" w:rsidP="00AC59E5">
      <w:pPr>
        <w:pStyle w:val="CMSHeading4"/>
      </w:pPr>
      <w:r>
        <w:t>Überblick</w:t>
      </w:r>
    </w:p>
    <w:p w14:paraId="45BBEBFA" w14:textId="77777777" w:rsidR="00AC59E5" w:rsidRDefault="00AC59E5" w:rsidP="00AC59E5">
      <w:pPr>
        <w:pStyle w:val="CMSIndent3"/>
      </w:pPr>
    </w:p>
    <w:p w14:paraId="5558BF2B" w14:textId="77777777" w:rsidR="00AC59E5" w:rsidRDefault="00AC59E5" w:rsidP="00AC59E5">
      <w:pPr>
        <w:pStyle w:val="CMSIndent3"/>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14:paraId="48AABD4C" w14:textId="77777777" w:rsidR="00AC59E5" w:rsidRDefault="00AC59E5" w:rsidP="00AC59E5">
      <w:pPr>
        <w:pStyle w:val="CMSIndent3"/>
      </w:pPr>
    </w:p>
    <w:p w14:paraId="592CDCEE" w14:textId="77777777" w:rsidR="00AC59E5" w:rsidRDefault="00AC59E5" w:rsidP="00AC59E5">
      <w:pPr>
        <w:pStyle w:val="CMSIndent3"/>
      </w:pPr>
      <w:r>
        <w:t xml:space="preserve">Die Bedrohung, dass terroristische Organisationen Finanzierungsaktivitäten in Deutschland entfalten, wird ebenfalls mit mittel-hoch bewertet. </w:t>
      </w:r>
    </w:p>
    <w:p w14:paraId="29248BE0" w14:textId="48971CCE" w:rsidR="00AC59E5" w:rsidRDefault="00AC59E5" w:rsidP="00AC59E5">
      <w:pPr>
        <w:pStyle w:val="CMSIndent3"/>
      </w:pPr>
    </w:p>
    <w:p w14:paraId="6838E13A" w14:textId="77777777" w:rsidR="00A677F5" w:rsidRDefault="00A677F5" w:rsidP="00AC59E5">
      <w:pPr>
        <w:pStyle w:val="CMSIndent3"/>
      </w:pPr>
    </w:p>
    <w:p w14:paraId="088A9C34" w14:textId="4E149BFC" w:rsidR="00A677F5" w:rsidRDefault="00A677F5" w:rsidP="00A677F5">
      <w:pPr>
        <w:pStyle w:val="CMSHeading4"/>
      </w:pPr>
      <w:r>
        <w:t>Verdachtsmeldungen 2018</w:t>
      </w:r>
    </w:p>
    <w:p w14:paraId="49A7F5E8" w14:textId="4B91ACD5" w:rsidR="00A677F5" w:rsidRDefault="00A677F5" w:rsidP="00AC59E5">
      <w:pPr>
        <w:pStyle w:val="CMSIndent3"/>
      </w:pPr>
    </w:p>
    <w:p w14:paraId="551B1134" w14:textId="77777777" w:rsidR="00A677F5" w:rsidRDefault="00A677F5" w:rsidP="00A677F5">
      <w:pPr>
        <w:pStyle w:val="CMSIndent2"/>
        <w:spacing w:after="120"/>
        <w:ind w:left="567"/>
        <w:jc w:val="both"/>
      </w:pPr>
      <w:r>
        <w:t xml:space="preserve">Im Jahr 2018 gab es nach Angaben der Financial Intelligence Unit (FIU) in Deutschland insgesamt 77.252 eingegangene Verdachtsmeldungen nach dem Geldwäschegesetz. Dies ist ein Anstieg um 29% im Vergleich zum Vorjahr. Der starke Zuwachs von Verdachtsmeldungen innerhalb der letzten Jahre wird dabei als Folge der immer höheren Sensibilisierung sowie Automatisierung, insbesondere bei Kreditinstituten und Finanzdienstleistern, gesehen. </w:t>
      </w:r>
    </w:p>
    <w:p w14:paraId="0A6FE451" w14:textId="77777777" w:rsidR="00A677F5" w:rsidRDefault="00A677F5" w:rsidP="00A677F5">
      <w:pPr>
        <w:pStyle w:val="CMSIndent2"/>
        <w:spacing w:after="120"/>
        <w:ind w:left="567"/>
        <w:jc w:val="both"/>
      </w:pPr>
      <w:r>
        <w:t xml:space="preserve">Von den 77.252 Verdachtsmeldungen 784 Verdachtsmeldungen wurde "Terrorismusfinanzierung" als Verdachtsgrund geäußert. </w:t>
      </w:r>
    </w:p>
    <w:p w14:paraId="0196A489" w14:textId="77777777" w:rsidR="00A677F5" w:rsidRDefault="00A677F5" w:rsidP="00A677F5">
      <w:pPr>
        <w:pStyle w:val="CMSIndent2"/>
        <w:spacing w:after="120"/>
        <w:ind w:left="567"/>
        <w:jc w:val="both"/>
      </w:pPr>
    </w:p>
    <w:p w14:paraId="0B32DC96" w14:textId="77777777" w:rsidR="00A677F5" w:rsidRDefault="00A677F5" w:rsidP="00A677F5">
      <w:pPr>
        <w:pStyle w:val="CMSIndent2"/>
        <w:spacing w:after="120"/>
        <w:ind w:firstLine="567"/>
        <w:jc w:val="both"/>
      </w:pPr>
      <w:r>
        <w:t>Die Entwicklung der Verdachtsmeldungen in Deutschland zeigt die folgende Grafik:</w:t>
      </w:r>
    </w:p>
    <w:p w14:paraId="39451E8A" w14:textId="77777777" w:rsidR="00A677F5" w:rsidRDefault="00A677F5" w:rsidP="00A677F5">
      <w:pPr>
        <w:pStyle w:val="CMSIndent2"/>
        <w:spacing w:after="120"/>
        <w:ind w:left="567" w:firstLine="3"/>
        <w:jc w:val="both"/>
      </w:pPr>
    </w:p>
    <w:p w14:paraId="2BB17461" w14:textId="77777777" w:rsidR="00A677F5" w:rsidRDefault="00A677F5" w:rsidP="00A677F5">
      <w:pPr>
        <w:pStyle w:val="CMSIndent2"/>
        <w:spacing w:after="120"/>
        <w:ind w:left="567" w:firstLine="3"/>
        <w:jc w:val="both"/>
      </w:pPr>
      <w:r>
        <w:rPr>
          <w:noProof/>
        </w:rPr>
        <w:drawing>
          <wp:inline distT="0" distB="0" distL="0" distR="0" wp14:anchorId="2FE9E7BF" wp14:editId="3B6C5C22">
            <wp:extent cx="5417388" cy="3157267"/>
            <wp:effectExtent l="0" t="0" r="12065" b="508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CA801C" w14:textId="77777777" w:rsidR="00A677F5" w:rsidRDefault="00A677F5" w:rsidP="00A677F5">
      <w:pPr>
        <w:pStyle w:val="CMSIndent2"/>
        <w:spacing w:after="120"/>
        <w:ind w:left="567" w:firstLine="3"/>
        <w:jc w:val="both"/>
      </w:pPr>
    </w:p>
    <w:p w14:paraId="60A187F7" w14:textId="0A008766" w:rsidR="00A677F5" w:rsidRDefault="00A677F5" w:rsidP="00A677F5">
      <w:pPr>
        <w:pStyle w:val="CMSIndent2"/>
        <w:ind w:left="567"/>
        <w:jc w:val="both"/>
      </w:pPr>
      <w:r>
        <w:t>Ca. 98% der eingegangenen Verdachtsmeldungen stammen dabei aus dem Finanzsektor. Aus dem Nicht-Finanzsektor kommen weniger als 1% der Gesamtmeldungen. Von</w:t>
      </w:r>
      <w:r w:rsidRPr="00C65F93">
        <w:t xml:space="preserve"> Rechtsanwälten</w:t>
      </w:r>
      <w:r>
        <w:t>, Patentanwälten und Notaren wurden im Jahr 2018 in Deutschland insgesamt 30</w:t>
      </w:r>
      <w:r w:rsidRPr="00C65F93">
        <w:t xml:space="preserve"> </w:t>
      </w:r>
      <w:r>
        <w:t>(</w:t>
      </w:r>
      <w:r w:rsidRPr="00C65F93">
        <w:t xml:space="preserve">Verdachtsmeldungen </w:t>
      </w:r>
      <w:r>
        <w:t>abgegeben</w:t>
      </w:r>
      <w:r w:rsidRPr="00C65F93">
        <w:t>. Das entspricht ca. 0,</w:t>
      </w:r>
      <w:r>
        <w:t>04</w:t>
      </w:r>
      <w:r w:rsidRPr="00C65F93">
        <w:t>% der Verdachtsmeldungen insgesamt</w:t>
      </w:r>
      <w:r>
        <w:t xml:space="preserve"> und liegt damit auf einem sehr niedrigen Niveau</w:t>
      </w:r>
      <w:r w:rsidRPr="00C65F93">
        <w:t xml:space="preserve">. </w:t>
      </w:r>
      <w:r>
        <w:rPr>
          <w:i/>
        </w:rPr>
        <w:t>Beispielsfrau &amp; Mustermann</w:t>
      </w:r>
      <w:r w:rsidRPr="00964329">
        <w:rPr>
          <w:i/>
        </w:rPr>
        <w:t xml:space="preserve"> </w:t>
      </w:r>
      <w:r>
        <w:t>musste</w:t>
      </w:r>
      <w:r w:rsidRPr="00C65F93">
        <w:t xml:space="preserve"> als Verpflichteter nach dem GwG bislang keine Verdachtsmeldungen erstatten.</w:t>
      </w:r>
    </w:p>
    <w:p w14:paraId="51571012" w14:textId="77777777" w:rsidR="00A677F5" w:rsidRDefault="00A677F5" w:rsidP="00A677F5">
      <w:pPr>
        <w:pStyle w:val="CMSIndent2"/>
        <w:ind w:left="567"/>
        <w:jc w:val="both"/>
      </w:pPr>
    </w:p>
    <w:p w14:paraId="5A04CA18" w14:textId="77777777" w:rsidR="00AC59E5" w:rsidRDefault="00AC59E5" w:rsidP="00AC59E5">
      <w:pPr>
        <w:pStyle w:val="CMSHeading4"/>
      </w:pPr>
      <w:r>
        <w:t>Immobiliensektor</w:t>
      </w:r>
    </w:p>
    <w:p w14:paraId="04C9DFCD" w14:textId="77777777" w:rsidR="00AC59E5" w:rsidRDefault="00AC59E5" w:rsidP="00AC59E5">
      <w:pPr>
        <w:pStyle w:val="CMSIndent3"/>
      </w:pPr>
    </w:p>
    <w:p w14:paraId="4F9B7039" w14:textId="77777777" w:rsidR="00AC59E5" w:rsidRDefault="00AC59E5" w:rsidP="00AC59E5">
      <w:pPr>
        <w:pStyle w:val="CMSIndent3"/>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14:paraId="192D0FC1" w14:textId="77777777" w:rsidR="00AC59E5" w:rsidRDefault="00AC59E5" w:rsidP="00AC59E5">
      <w:pPr>
        <w:pStyle w:val="CMSIndent3"/>
      </w:pPr>
    </w:p>
    <w:p w14:paraId="70C218CE" w14:textId="77777777" w:rsidR="00AC59E5" w:rsidRDefault="00AC59E5" w:rsidP="00AC59E5">
      <w:pPr>
        <w:pStyle w:val="CMSIndent3"/>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14:paraId="613E91CB" w14:textId="77777777" w:rsidR="00AC59E5" w:rsidRDefault="00AC59E5" w:rsidP="00AC59E5">
      <w:pPr>
        <w:pStyle w:val="CMSIndent3"/>
      </w:pPr>
    </w:p>
    <w:p w14:paraId="386BF56F" w14:textId="77777777" w:rsidR="00AC59E5" w:rsidRDefault="00AC59E5" w:rsidP="00AC59E5">
      <w:pPr>
        <w:pStyle w:val="CMSIndent3"/>
      </w:pPr>
      <w:r>
        <w:t xml:space="preserve">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 </w:t>
      </w:r>
    </w:p>
    <w:p w14:paraId="20B37140" w14:textId="77777777" w:rsidR="00AC59E5" w:rsidRDefault="00AC59E5" w:rsidP="00AC59E5">
      <w:pPr>
        <w:pStyle w:val="CMSIndent3"/>
      </w:pPr>
    </w:p>
    <w:p w14:paraId="1F0C7A7F" w14:textId="77777777" w:rsidR="00AC59E5" w:rsidRDefault="00AC59E5" w:rsidP="00AC59E5">
      <w:pPr>
        <w:pStyle w:val="CMSIndent3"/>
      </w:pPr>
      <w:r>
        <w:t xml:space="preserve">Das Terrorismusfinanzierungsrisiko wird für den Immobiliensektor als mittel eingestuft. </w:t>
      </w:r>
    </w:p>
    <w:p w14:paraId="3CC4103C" w14:textId="77777777" w:rsidR="00AC59E5" w:rsidRDefault="00AC59E5" w:rsidP="00AC59E5">
      <w:pPr>
        <w:pStyle w:val="CMSIndent3"/>
      </w:pPr>
    </w:p>
    <w:p w14:paraId="48AFAD2E" w14:textId="77777777" w:rsidR="00AC59E5" w:rsidRDefault="00AC59E5" w:rsidP="00AC59E5">
      <w:pPr>
        <w:pStyle w:val="CMSIndent3"/>
      </w:pPr>
    </w:p>
    <w:p w14:paraId="1693A052" w14:textId="77777777" w:rsidR="00AC59E5" w:rsidRDefault="00AC59E5" w:rsidP="00AC59E5">
      <w:pPr>
        <w:pStyle w:val="CMSHeading4"/>
      </w:pPr>
      <w:r>
        <w:t>Rechtsberatung und freie Berufe</w:t>
      </w:r>
    </w:p>
    <w:p w14:paraId="387A1EC4" w14:textId="77777777" w:rsidR="00AC59E5" w:rsidRDefault="00AC59E5" w:rsidP="00AC59E5">
      <w:pPr>
        <w:pStyle w:val="CMSIndent3"/>
      </w:pPr>
    </w:p>
    <w:p w14:paraId="5D7D6FBE" w14:textId="11B0ED9D" w:rsidR="00E56E76" w:rsidRDefault="00AC59E5" w:rsidP="00EC6606">
      <w:pPr>
        <w:pStyle w:val="CMSIndent3"/>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14:paraId="27B05269" w14:textId="77777777" w:rsidR="00A86514" w:rsidRDefault="00A86514">
      <w:pPr>
        <w:pStyle w:val="CMSIndent2"/>
        <w:jc w:val="both"/>
      </w:pPr>
    </w:p>
    <w:p w14:paraId="6B23B7D0" w14:textId="18E299D7" w:rsidR="008C5A7B" w:rsidRDefault="00B95F9F" w:rsidP="008C5A7B">
      <w:pPr>
        <w:pStyle w:val="CMSHeading2"/>
        <w:jc w:val="both"/>
        <w:rPr>
          <w:color w:val="002060"/>
          <w:sz w:val="28"/>
          <w:szCs w:val="28"/>
        </w:rPr>
      </w:pPr>
      <w:bookmarkStart w:id="12" w:name="_Toc28008499"/>
      <w:r>
        <w:rPr>
          <w:color w:val="002060"/>
          <w:sz w:val="28"/>
          <w:szCs w:val="28"/>
        </w:rPr>
        <w:t>Risikobestimmung</w:t>
      </w:r>
      <w:bookmarkEnd w:id="12"/>
    </w:p>
    <w:p w14:paraId="37494CA4" w14:textId="77777777" w:rsidR="00B95F9F" w:rsidRPr="00DB1419" w:rsidRDefault="00B95F9F" w:rsidP="006F1C5F">
      <w:pPr>
        <w:pStyle w:val="CMSIndent3"/>
        <w:ind w:left="0"/>
      </w:pPr>
    </w:p>
    <w:p w14:paraId="5E89247E" w14:textId="0D657A63"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14:paraId="3EBA48FC" w14:textId="77777777" w:rsidR="00B95F9F" w:rsidRDefault="00B95F9F" w:rsidP="00B95F9F">
      <w:pPr>
        <w:pStyle w:val="CMSIndent2"/>
        <w:jc w:val="both"/>
      </w:pPr>
    </w:p>
    <w:p w14:paraId="0B8EBEDF" w14:textId="77777777" w:rsidR="00B95F9F" w:rsidRPr="00DB1419" w:rsidRDefault="00B95F9F" w:rsidP="006F1C5F">
      <w:pPr>
        <w:pStyle w:val="CMSHeading3"/>
      </w:pPr>
      <w:bookmarkStart w:id="13" w:name="_Toc28008500"/>
      <w:r w:rsidRPr="00DB1419">
        <w:t>Quellen für die Risikobestimmung</w:t>
      </w:r>
      <w:bookmarkEnd w:id="13"/>
    </w:p>
    <w:p w14:paraId="7E3D23E2" w14:textId="5AA5F8F6"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14:paraId="0A96A21F" w14:textId="667B3C00" w:rsidR="00B95F9F" w:rsidRDefault="00B95F9F" w:rsidP="00B95F9F">
      <w:pPr>
        <w:pStyle w:val="CMSExhibit7"/>
        <w:numPr>
          <w:ilvl w:val="0"/>
          <w:numId w:val="41"/>
        </w:numPr>
      </w:pPr>
      <w:r>
        <w:t>Anlagen 1 und 2 zum GwG (Faktoren für ein pot. geringes / höheres Risiko)</w:t>
      </w:r>
    </w:p>
    <w:p w14:paraId="20B9AB9C" w14:textId="4F6405DB" w:rsidR="00A677F5" w:rsidRDefault="00A677F5" w:rsidP="00A677F5">
      <w:pPr>
        <w:pStyle w:val="CMSExhibit7"/>
        <w:numPr>
          <w:ilvl w:val="0"/>
          <w:numId w:val="41"/>
        </w:numPr>
      </w:pPr>
      <w:r>
        <w:t>Nationale Risikoanalyse</w:t>
      </w:r>
    </w:p>
    <w:p w14:paraId="4FD62D0B" w14:textId="77777777" w:rsidR="00B95F9F" w:rsidRDefault="00B95F9F" w:rsidP="00B95F9F">
      <w:pPr>
        <w:pStyle w:val="CMSExhibit7"/>
        <w:numPr>
          <w:ilvl w:val="0"/>
          <w:numId w:val="41"/>
        </w:numPr>
      </w:pPr>
      <w:r>
        <w:t>Veröffentlichungen der Berufskammern und Berufsverbände</w:t>
      </w:r>
    </w:p>
    <w:p w14:paraId="668AD829" w14:textId="2AB3AC54" w:rsidR="00B95F9F" w:rsidRDefault="00B95F9F" w:rsidP="00B95F9F">
      <w:pPr>
        <w:pStyle w:val="CMSExhibit7"/>
        <w:numPr>
          <w:ilvl w:val="0"/>
          <w:numId w:val="41"/>
        </w:numPr>
      </w:pPr>
      <w:r>
        <w:t>Typologiepapiere (Financial Intelligence Unit (FIU))</w:t>
      </w:r>
    </w:p>
    <w:p w14:paraId="77937C93" w14:textId="67687BCB" w:rsidR="00B95F9F" w:rsidRDefault="00B95F9F" w:rsidP="00B95F9F">
      <w:pPr>
        <w:pStyle w:val="CMSExhibit7"/>
        <w:numPr>
          <w:ilvl w:val="0"/>
          <w:numId w:val="41"/>
        </w:numPr>
      </w:pPr>
      <w:r>
        <w:t>Unternehmens- und Compliancedatenbank</w:t>
      </w:r>
      <w:r w:rsidR="00E56E76">
        <w:t>en (</w:t>
      </w:r>
      <w:r w:rsidR="00C338D8">
        <w:t>z.B. XXX)</w:t>
      </w:r>
      <w:r>
        <w:t xml:space="preserve"> </w:t>
      </w:r>
    </w:p>
    <w:p w14:paraId="701F11E1" w14:textId="0451C5F7" w:rsidR="00B95F9F" w:rsidRDefault="00B95F9F" w:rsidP="00B95F9F">
      <w:pPr>
        <w:pStyle w:val="CMSExhibit7"/>
        <w:numPr>
          <w:ilvl w:val="0"/>
          <w:numId w:val="41"/>
        </w:numPr>
      </w:pPr>
      <w:r>
        <w:t>Pressedatenbanken (</w:t>
      </w:r>
      <w:r w:rsidR="00C338D8">
        <w:t>z.B. XXX</w:t>
      </w:r>
      <w:r>
        <w:t>)</w:t>
      </w:r>
    </w:p>
    <w:p w14:paraId="494C9D84" w14:textId="4BFD8BB0" w:rsidR="00B95F9F" w:rsidRDefault="00DC5F03" w:rsidP="006F1C5F">
      <w:pPr>
        <w:pStyle w:val="CMSExhibit7"/>
        <w:numPr>
          <w:ilvl w:val="0"/>
          <w:numId w:val="41"/>
        </w:numPr>
      </w:pPr>
      <w:r>
        <w:t>Branchenround</w:t>
      </w:r>
      <w:r w:rsidR="00B95F9F">
        <w:t>t</w:t>
      </w:r>
      <w:r>
        <w:t>a</w:t>
      </w:r>
      <w:r w:rsidR="00B95F9F">
        <w:t>bles und Erfahrungsaustausche</w:t>
      </w:r>
    </w:p>
    <w:p w14:paraId="28475EE4" w14:textId="77777777" w:rsidR="00BF4592" w:rsidRDefault="00BF4592" w:rsidP="006F1C5F">
      <w:pPr>
        <w:pStyle w:val="CMSExhibit7"/>
        <w:ind w:left="1287"/>
      </w:pPr>
    </w:p>
    <w:p w14:paraId="551023C6" w14:textId="77777777" w:rsidR="00BF4592" w:rsidRDefault="00BF4592" w:rsidP="006F1C5F">
      <w:pPr>
        <w:pStyle w:val="CMSExhibit7"/>
        <w:ind w:left="1287"/>
      </w:pPr>
    </w:p>
    <w:p w14:paraId="1B43A6E6" w14:textId="77777777" w:rsidR="00B95F9F" w:rsidRPr="00DB1419" w:rsidRDefault="00B95F9F" w:rsidP="006F1C5F">
      <w:pPr>
        <w:pStyle w:val="CMSHeading3"/>
      </w:pPr>
      <w:bookmarkStart w:id="14" w:name="_Toc28008501"/>
      <w:r w:rsidRPr="00DB1419">
        <w:t>Risikobestimmung vor Mandatsannahme</w:t>
      </w:r>
      <w:bookmarkEnd w:id="14"/>
    </w:p>
    <w:p w14:paraId="0D668625" w14:textId="3A59B87E"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14:paraId="313502F3" w14:textId="77777777" w:rsidR="00B95F9F" w:rsidRPr="00DB1419" w:rsidRDefault="00B95F9F" w:rsidP="00B95F9F">
      <w:pPr>
        <w:pStyle w:val="CMSExhibit7"/>
        <w:rPr>
          <w:b/>
        </w:rPr>
      </w:pPr>
    </w:p>
    <w:p w14:paraId="59BEDF05" w14:textId="77777777" w:rsidR="00B95F9F" w:rsidRPr="00DB1419" w:rsidRDefault="00B95F9F" w:rsidP="006F1C5F">
      <w:pPr>
        <w:pStyle w:val="CMSHeading3"/>
      </w:pPr>
      <w:bookmarkStart w:id="15" w:name="_Toc28008502"/>
      <w:r w:rsidRPr="00DB1419">
        <w:t>Risikobestimmung bei Mandatsannahme</w:t>
      </w:r>
      <w:bookmarkEnd w:id="15"/>
    </w:p>
    <w:p w14:paraId="4F739E0A" w14:textId="59A79E24" w:rsidR="00B95F9F" w:rsidRPr="007B7BF8" w:rsidRDefault="00B95F9F" w:rsidP="007B7BF8">
      <w:pPr>
        <w:pStyle w:val="CMSExhibit7"/>
      </w:pPr>
      <w:r w:rsidRPr="007B7BF8">
        <w:t>Der Normallfall der Risikobestimmung findet bei der Mandatsannahme i</w:t>
      </w:r>
      <w:r w:rsidR="007B7BF8">
        <w:t>m Rahmen der Aktenanlage statt [Ausführen].</w:t>
      </w:r>
    </w:p>
    <w:p w14:paraId="0AE7097B" w14:textId="77777777" w:rsidR="006F1C5F" w:rsidRDefault="006F1C5F" w:rsidP="00B95F9F">
      <w:pPr>
        <w:pStyle w:val="CMSExhibit7"/>
      </w:pPr>
    </w:p>
    <w:p w14:paraId="2E68C89B" w14:textId="77777777" w:rsidR="00B95F9F" w:rsidRPr="00DB1419" w:rsidRDefault="00B95F9F" w:rsidP="006F1C5F">
      <w:pPr>
        <w:pStyle w:val="CMSHeading3"/>
      </w:pPr>
      <w:bookmarkStart w:id="16" w:name="_Toc28008503"/>
      <w:r w:rsidRPr="00DB1419">
        <w:t>Risikobestimmung im Laufe der Mandatsbeziehung</w:t>
      </w:r>
      <w:bookmarkEnd w:id="16"/>
    </w:p>
    <w:p w14:paraId="04E4B914" w14:textId="77777777" w:rsidR="00B95F9F" w:rsidRDefault="00B95F9F" w:rsidP="00B95F9F">
      <w:pPr>
        <w:pStyle w:val="CMSIndent2"/>
        <w:ind w:left="567"/>
        <w:jc w:val="both"/>
      </w:pPr>
    </w:p>
    <w:p w14:paraId="559CF4C7" w14:textId="77777777" w:rsidR="00B95F9F" w:rsidRDefault="00B95F9F" w:rsidP="00B95F9F">
      <w:pPr>
        <w:pStyle w:val="CMSIndent2"/>
        <w:ind w:left="567"/>
        <w:jc w:val="both"/>
      </w:pPr>
      <w:r>
        <w:t xml:space="preserve">Sofern sich im Laufe des Mandats Änderungen hinsichtlich der Kategorisierung als Kataloggeschäft ergeben, sich beteiligte Parteien ändern oder weitere Parteien hinzukommen, findet auch für diese eine entsprechende Risikobestimmung anhand der oben dargestellten Faktoren statt. </w:t>
      </w:r>
    </w:p>
    <w:p w14:paraId="1B83ECF6" w14:textId="77777777" w:rsidR="006A78B1" w:rsidRDefault="006A78B1" w:rsidP="00F2294B">
      <w:pPr>
        <w:pStyle w:val="CMSIndent2"/>
        <w:jc w:val="both"/>
      </w:pPr>
    </w:p>
    <w:p w14:paraId="2CFEEA50" w14:textId="5FD36A2B" w:rsidR="00504848" w:rsidRPr="0082660A" w:rsidRDefault="002A3D47" w:rsidP="005B5A00">
      <w:pPr>
        <w:pStyle w:val="CMSHeading2"/>
        <w:jc w:val="both"/>
        <w:rPr>
          <w:color w:val="002060"/>
          <w:sz w:val="28"/>
          <w:szCs w:val="28"/>
        </w:rPr>
      </w:pPr>
      <w:bookmarkStart w:id="17" w:name="_Toc28008504"/>
      <w:r>
        <w:rPr>
          <w:color w:val="002060"/>
          <w:sz w:val="28"/>
          <w:szCs w:val="28"/>
        </w:rPr>
        <w:t>Gesamtbetrachtung und Maßnahmen</w:t>
      </w:r>
      <w:bookmarkEnd w:id="17"/>
      <w:r w:rsidR="00AC6DEA">
        <w:rPr>
          <w:color w:val="002060"/>
          <w:sz w:val="28"/>
          <w:szCs w:val="28"/>
        </w:rPr>
        <w:t xml:space="preserve"> </w:t>
      </w:r>
    </w:p>
    <w:p w14:paraId="4A6FC5F2" w14:textId="77777777" w:rsidR="00940A4E" w:rsidRDefault="00940A4E" w:rsidP="005B5A00">
      <w:pPr>
        <w:pStyle w:val="CMSIndent2"/>
        <w:jc w:val="both"/>
      </w:pPr>
    </w:p>
    <w:p w14:paraId="1BB7FE7A" w14:textId="7A34AA47"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gering eingeschätzt. </w:t>
      </w:r>
      <w:r w:rsidR="008C5A7B">
        <w:t xml:space="preserve">Diese Einschätzung fußt auf folgenden Betrachtungen: </w:t>
      </w:r>
    </w:p>
    <w:p w14:paraId="0E6ABBB3" w14:textId="77777777" w:rsidR="007B7BF8" w:rsidRDefault="007B7BF8" w:rsidP="002E09A2">
      <w:pPr>
        <w:pStyle w:val="CMSIndent2"/>
        <w:ind w:left="567"/>
        <w:jc w:val="both"/>
      </w:pPr>
    </w:p>
    <w:p w14:paraId="3161ED2B" w14:textId="4B51CBBF" w:rsidR="00FB1B2D" w:rsidRDefault="00FB1B2D" w:rsidP="002E09A2">
      <w:pPr>
        <w:pStyle w:val="CMSIndent2"/>
        <w:ind w:left="567"/>
        <w:jc w:val="both"/>
      </w:pPr>
      <w:r w:rsidRPr="00FB1B2D">
        <w:t>Aus der o.g. Bestandsaufnahme sind gemäß § 14 i.V.m. Anlage 1 GwG überwiegend Faktoren für ein potenziell niedrigeres Risiko erkennbar. Das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Pr="00FB1B2D">
        <w:t xml:space="preserve">% der Mandanten </w:t>
      </w:r>
      <w:r>
        <w:t>mit Sitz in</w:t>
      </w:r>
      <w:r w:rsidRPr="00FB1B2D">
        <w:t xml:space="preserve"> Deutschland </w:t>
      </w:r>
      <w:r>
        <w:t>bzw.</w:t>
      </w:r>
      <w:r w:rsidRPr="00FB1B2D">
        <w:t xml:space="preserve"> der EU).</w:t>
      </w:r>
    </w:p>
    <w:p w14:paraId="131C893F" w14:textId="4B6A49D5"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14:paraId="69A34325" w14:textId="0A642006" w:rsidR="002A3D47" w:rsidRDefault="002A3D47" w:rsidP="000005B9">
      <w:pPr>
        <w:pStyle w:val="CMSIndent2"/>
        <w:jc w:val="both"/>
      </w:pPr>
    </w:p>
    <w:p w14:paraId="3753CAD1" w14:textId="1D7B148B"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14:paraId="1DE8481E" w14:textId="77777777" w:rsidR="001A0BC6" w:rsidRDefault="001A0BC6" w:rsidP="006F1C5F">
      <w:pPr>
        <w:pStyle w:val="CMSIndent3"/>
      </w:pPr>
    </w:p>
    <w:p w14:paraId="2EB661E4" w14:textId="035D3402" w:rsidR="001A0BC6" w:rsidRDefault="001A0BC6" w:rsidP="001A0BC6">
      <w:pPr>
        <w:pStyle w:val="CMSHeading3"/>
      </w:pPr>
      <w:bookmarkStart w:id="18" w:name="_Toc28008505"/>
      <w:r>
        <w:t xml:space="preserve">Beachtung der </w:t>
      </w:r>
      <w:r w:rsidR="007E0C76">
        <w:rPr>
          <w:i/>
        </w:rPr>
        <w:t>Beispielsfrau &amp; Mustermann</w:t>
      </w:r>
      <w:r w:rsidR="00537671" w:rsidRPr="00964329">
        <w:rPr>
          <w:i/>
        </w:rPr>
        <w:t xml:space="preserve"> </w:t>
      </w:r>
      <w:r>
        <w:t>Geldwäscherichtlinie</w:t>
      </w:r>
      <w:bookmarkEnd w:id="18"/>
      <w:r>
        <w:t xml:space="preserve"> </w:t>
      </w:r>
    </w:p>
    <w:p w14:paraId="25D64677" w14:textId="77777777" w:rsidR="001A0BC6" w:rsidRPr="000005B9" w:rsidRDefault="001A0BC6" w:rsidP="001A0BC6">
      <w:pPr>
        <w:pStyle w:val="CMSIndent3"/>
      </w:pPr>
    </w:p>
    <w:p w14:paraId="285A0685" w14:textId="435CAA1F"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t xml:space="preserve">), </w:t>
      </w:r>
      <w:r w:rsidR="007B7BF8">
        <w:t>auf die insoweit verwiesen wird.</w:t>
      </w:r>
    </w:p>
    <w:p w14:paraId="20B8D424" w14:textId="77777777" w:rsidR="001A0BC6" w:rsidRDefault="001A0BC6" w:rsidP="001A0BC6">
      <w:pPr>
        <w:pStyle w:val="CMSIndent2"/>
        <w:jc w:val="both"/>
      </w:pPr>
    </w:p>
    <w:p w14:paraId="73235D12" w14:textId="77777777" w:rsidR="001A0BC6" w:rsidRPr="002E09A2" w:rsidRDefault="001A0BC6" w:rsidP="006F1C5F">
      <w:pPr>
        <w:pStyle w:val="CMSIndent3"/>
      </w:pPr>
    </w:p>
    <w:p w14:paraId="1A244BC7" w14:textId="77777777" w:rsidR="001A0BC6" w:rsidRDefault="001A0BC6" w:rsidP="001A0BC6">
      <w:pPr>
        <w:pStyle w:val="CMSHeading3"/>
      </w:pPr>
      <w:bookmarkStart w:id="19" w:name="_Toc28008506"/>
      <w:r>
        <w:t>Überprüfung bei jedem neuen Mandat</w:t>
      </w:r>
      <w:bookmarkEnd w:id="19"/>
    </w:p>
    <w:p w14:paraId="63BB0E66" w14:textId="77777777" w:rsidR="001A0BC6" w:rsidRPr="000005B9" w:rsidRDefault="001A0BC6" w:rsidP="006F1C5F">
      <w:pPr>
        <w:pStyle w:val="CMSIndent3"/>
        <w:ind w:left="0"/>
      </w:pPr>
    </w:p>
    <w:p w14:paraId="418FDA39" w14:textId="19674C14"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14:paraId="0B244CD9" w14:textId="77777777" w:rsidR="008626DC" w:rsidRDefault="008626DC" w:rsidP="006F1C5F">
      <w:pPr>
        <w:pStyle w:val="CMSIndent3"/>
        <w:ind w:left="0"/>
      </w:pPr>
    </w:p>
    <w:p w14:paraId="4EB04D20" w14:textId="27B82347" w:rsidR="008626DC" w:rsidRDefault="008626DC" w:rsidP="008626DC">
      <w:pPr>
        <w:pStyle w:val="CMSHeading3"/>
      </w:pPr>
      <w:bookmarkStart w:id="20" w:name="_Toc28008507"/>
      <w:r>
        <w:t>Bestellung eine</w:t>
      </w:r>
      <w:r w:rsidR="003C719F">
        <w:t>s</w:t>
      </w:r>
      <w:r>
        <w:t xml:space="preserve"> Geldwäschebeauftragten incl. Stellvertreter</w:t>
      </w:r>
      <w:bookmarkEnd w:id="20"/>
    </w:p>
    <w:p w14:paraId="1A5875EA" w14:textId="77777777" w:rsidR="008626DC" w:rsidRDefault="008626DC" w:rsidP="006F1C5F">
      <w:pPr>
        <w:pStyle w:val="CMSIndent3"/>
      </w:pPr>
    </w:p>
    <w:p w14:paraId="749FE440" w14:textId="090DBC26" w:rsidR="008626C6" w:rsidRDefault="008626DC" w:rsidP="006F1C5F">
      <w:pPr>
        <w:pStyle w:val="CMSIndent3"/>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14:paraId="5D130819" w14:textId="77777777" w:rsidR="008626DC" w:rsidRDefault="008626DC" w:rsidP="006F1C5F">
      <w:pPr>
        <w:pStyle w:val="CMSIndent3"/>
      </w:pPr>
    </w:p>
    <w:p w14:paraId="78654E55" w14:textId="03B157F8" w:rsidR="00C65F93" w:rsidRDefault="00C57BD3" w:rsidP="00C65F93">
      <w:pPr>
        <w:pStyle w:val="CMSHeading3"/>
      </w:pPr>
      <w:bookmarkStart w:id="21" w:name="_Toc28008508"/>
      <w:r>
        <w:t>Zuverlässigkeitsprüfung</w:t>
      </w:r>
      <w:r w:rsidR="00C65F93">
        <w:t xml:space="preserve"> Mitarbeiter</w:t>
      </w:r>
      <w:bookmarkEnd w:id="21"/>
    </w:p>
    <w:p w14:paraId="4DDA8B98" w14:textId="688A6093" w:rsidR="00C65F93" w:rsidRDefault="00C57BD3" w:rsidP="000005B9">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14:paraId="1FA7CBCF" w14:textId="7422CFCC" w:rsidR="00F2294B" w:rsidRDefault="00F2294B" w:rsidP="000005B9">
      <w:pPr>
        <w:pStyle w:val="CMSExhibit7"/>
      </w:pPr>
    </w:p>
    <w:p w14:paraId="768AB1AD" w14:textId="41CF41B1" w:rsidR="0025227E" w:rsidRDefault="0025227E" w:rsidP="000005B9">
      <w:pPr>
        <w:pStyle w:val="CMSExhibit7"/>
      </w:pPr>
    </w:p>
    <w:p w14:paraId="47180947" w14:textId="77777777" w:rsidR="0025227E" w:rsidRDefault="0025227E" w:rsidP="000005B9">
      <w:pPr>
        <w:pStyle w:val="CMSExhibit7"/>
      </w:pPr>
    </w:p>
    <w:p w14:paraId="0F0CC81A" w14:textId="77777777" w:rsidR="00C65F93" w:rsidRDefault="00C65F93" w:rsidP="006F1C5F">
      <w:pPr>
        <w:pStyle w:val="CMSIndent3"/>
      </w:pPr>
    </w:p>
    <w:p w14:paraId="55B69FD0" w14:textId="25B4BF18" w:rsidR="008626C6" w:rsidRDefault="008626C6" w:rsidP="008626C6">
      <w:pPr>
        <w:pStyle w:val="CMSHeading3"/>
      </w:pPr>
      <w:bookmarkStart w:id="22" w:name="_Toc28008509"/>
      <w:r>
        <w:t>Jährliche Unterrichtung zum Thema Geldwäsche</w:t>
      </w:r>
      <w:bookmarkEnd w:id="22"/>
    </w:p>
    <w:p w14:paraId="26B17F74" w14:textId="77777777" w:rsidR="008626C6" w:rsidRPr="000005B9" w:rsidRDefault="008626C6" w:rsidP="006F1C5F">
      <w:pPr>
        <w:pStyle w:val="CMSIndent3"/>
      </w:pPr>
    </w:p>
    <w:p w14:paraId="06D91A35" w14:textId="11765792"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XXX</w:t>
      </w:r>
      <w:r>
        <w:t>.</w:t>
      </w:r>
      <w:r w:rsidR="00B74B5A">
        <w:t xml:space="preserve"> </w:t>
      </w:r>
    </w:p>
    <w:p w14:paraId="0EB298E3" w14:textId="0B34E245" w:rsidR="008626C6" w:rsidRPr="000005B9" w:rsidRDefault="008626C6" w:rsidP="006F1C5F">
      <w:pPr>
        <w:pStyle w:val="CMSIndent3"/>
      </w:pPr>
    </w:p>
    <w:p w14:paraId="2213BCD5" w14:textId="048B835C" w:rsidR="008626C6" w:rsidRDefault="008626C6" w:rsidP="008626C6">
      <w:pPr>
        <w:pStyle w:val="CMSHeading3"/>
      </w:pPr>
      <w:bookmarkStart w:id="23" w:name="_Toc28008510"/>
      <w:r>
        <w:t xml:space="preserve">Jährliche </w:t>
      </w:r>
      <w:r w:rsidR="001A0BC6">
        <w:t>Überprüfung</w:t>
      </w:r>
      <w:r>
        <w:t xml:space="preserve"> dieser Risikoanalyse</w:t>
      </w:r>
      <w:bookmarkEnd w:id="23"/>
    </w:p>
    <w:p w14:paraId="027352B2" w14:textId="77777777" w:rsidR="008626C6" w:rsidRDefault="008626C6" w:rsidP="006F1C5F">
      <w:pPr>
        <w:pStyle w:val="CMSIndent3"/>
      </w:pPr>
    </w:p>
    <w:p w14:paraId="0833C19C" w14:textId="2ADE5E54" w:rsidR="00B67AAE" w:rsidRDefault="001A0BC6" w:rsidP="001A0BC6">
      <w:pPr>
        <w:pStyle w:val="CMSIndent2"/>
        <w:spacing w:after="120"/>
        <w:ind w:left="567"/>
        <w:jc w:val="both"/>
      </w:pPr>
      <w:r>
        <w:t xml:space="preserve">Die hier vorliegende Risikoanalyse </w:t>
      </w:r>
      <w:r w:rsidR="007174E0">
        <w:t xml:space="preserve">(aktueller Stand: </w:t>
      </w:r>
      <w:r w:rsidR="007B7BF8">
        <w:t>XXX</w:t>
      </w:r>
      <w:r w:rsidR="007174E0">
        <w:t xml:space="preserve">) </w:t>
      </w:r>
      <w:r>
        <w:t xml:space="preserve">wird regelmäßig </w:t>
      </w:r>
      <w:r w:rsidR="00A72734">
        <w:t>aktualisiert und bzw</w:t>
      </w:r>
      <w:r>
        <w:t>.</w:t>
      </w:r>
      <w:r w:rsidR="00A72734">
        <w:t xml:space="preserve"> auf ihre Aktualität überprüft.</w:t>
      </w:r>
    </w:p>
    <w:p w14:paraId="2FD585CC" w14:textId="77777777" w:rsidR="00186C69" w:rsidRDefault="00186C69" w:rsidP="001A0BC6">
      <w:pPr>
        <w:pStyle w:val="CMSIndent2"/>
        <w:spacing w:after="120"/>
        <w:ind w:left="567"/>
        <w:jc w:val="both"/>
      </w:pPr>
    </w:p>
    <w:p w14:paraId="41E84F37" w14:textId="4EB581C5" w:rsidR="00B67AAE" w:rsidRDefault="001264BF" w:rsidP="00B67AAE">
      <w:pPr>
        <w:pStyle w:val="CMSHeading3"/>
      </w:pPr>
      <w:bookmarkStart w:id="24" w:name="_Toc28008511"/>
      <w:r>
        <w:t>Unabhängige Überprüfung der Grundsätze</w:t>
      </w:r>
      <w:bookmarkEnd w:id="24"/>
    </w:p>
    <w:p w14:paraId="3312A69D" w14:textId="77777777" w:rsidR="001264BF" w:rsidRDefault="001264BF" w:rsidP="006F1C5F">
      <w:pPr>
        <w:pStyle w:val="CMSIndent3"/>
      </w:pPr>
    </w:p>
    <w:p w14:paraId="14BB05DA" w14:textId="6ED2EF66" w:rsidR="001264BF" w:rsidRPr="006F1C5F" w:rsidRDefault="001264BF" w:rsidP="006F1C5F">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14:paraId="6FBE2155" w14:textId="77777777" w:rsidR="00B67AAE" w:rsidRDefault="00B67AAE" w:rsidP="006F1C5F">
      <w:pPr>
        <w:pStyle w:val="CMSIndent3"/>
      </w:pPr>
    </w:p>
    <w:p w14:paraId="7CF1C268" w14:textId="77777777" w:rsidR="00B67AAE" w:rsidRDefault="00B67AAE" w:rsidP="006F1C5F">
      <w:pPr>
        <w:pStyle w:val="CMSIndent3"/>
      </w:pPr>
    </w:p>
    <w:p w14:paraId="1BA42136" w14:textId="33E07F3B" w:rsidR="00186C69" w:rsidRDefault="00186C69" w:rsidP="00B67AAE">
      <w:pPr>
        <w:pStyle w:val="CMSHeading3"/>
      </w:pPr>
      <w:bookmarkStart w:id="25" w:name="_Toc28008512"/>
      <w:r>
        <w:t>Meldepflichten</w:t>
      </w:r>
      <w:bookmarkEnd w:id="25"/>
    </w:p>
    <w:p w14:paraId="1A660B10" w14:textId="77777777" w:rsidR="00186C69" w:rsidRDefault="00186C69" w:rsidP="00186C69">
      <w:pPr>
        <w:pStyle w:val="CMSIndent3"/>
      </w:pPr>
    </w:p>
    <w:p w14:paraId="5AFF71B2" w14:textId="4AC16439" w:rsidR="00186C69" w:rsidRDefault="00186C69" w:rsidP="00186C69">
      <w:pPr>
        <w:pStyle w:val="CMSIndent3"/>
      </w:pPr>
      <w:r>
        <w:t>Ein Prozess zur Erfüllung der Meldepflicht nach § 43 Abs. 1 GwG ist etabliert. [Ausführen]</w:t>
      </w:r>
    </w:p>
    <w:p w14:paraId="090BFA99" w14:textId="54BA2397" w:rsidR="00186C69" w:rsidRPr="00186C69" w:rsidRDefault="00186C69" w:rsidP="00186C69">
      <w:pPr>
        <w:pStyle w:val="CMSIndent3"/>
        <w:ind w:left="0"/>
      </w:pPr>
    </w:p>
    <w:p w14:paraId="467DC463" w14:textId="00423505" w:rsidR="00186C69" w:rsidRDefault="00186C69" w:rsidP="00B67AAE">
      <w:pPr>
        <w:pStyle w:val="CMSHeading3"/>
      </w:pPr>
      <w:bookmarkStart w:id="26" w:name="_Toc28008513"/>
      <w:r>
        <w:t>Aufzeichnungs- und Aufbewahrungspflichten</w:t>
      </w:r>
      <w:bookmarkEnd w:id="26"/>
    </w:p>
    <w:p w14:paraId="61E3EE84" w14:textId="77777777" w:rsidR="00186C69" w:rsidRDefault="00186C69" w:rsidP="00186C69">
      <w:pPr>
        <w:pStyle w:val="CMSIndent3"/>
      </w:pPr>
    </w:p>
    <w:p w14:paraId="22A4ECF8" w14:textId="26B786D7" w:rsidR="00186C69" w:rsidRDefault="00186C69" w:rsidP="00186C69">
      <w:pPr>
        <w:pStyle w:val="CMSIndent3"/>
      </w:pPr>
      <w:r>
        <w:t>Ein Prozess zur Erfüllung der Aufzeichnungs- und Aufbewahrungspflichten nach § 8 GwG ist etabliert. [Ausführen]</w:t>
      </w:r>
    </w:p>
    <w:p w14:paraId="06F8A5FC" w14:textId="30830046" w:rsidR="00186C69" w:rsidRDefault="00186C69" w:rsidP="00186C69">
      <w:pPr>
        <w:pStyle w:val="CMSIndent3"/>
      </w:pPr>
    </w:p>
    <w:p w14:paraId="0C046BA0" w14:textId="77777777" w:rsidR="00186C69" w:rsidRPr="00186C69" w:rsidRDefault="00186C69" w:rsidP="00186C69">
      <w:pPr>
        <w:pStyle w:val="CMSIndent3"/>
      </w:pPr>
    </w:p>
    <w:p w14:paraId="45B0288E" w14:textId="059D6A7B" w:rsidR="00B67AAE" w:rsidRDefault="00FC561E" w:rsidP="00B67AAE">
      <w:pPr>
        <w:pStyle w:val="CMSHeading3"/>
      </w:pPr>
      <w:bookmarkStart w:id="27" w:name="_Toc28008514"/>
      <w:r>
        <w:t>Meldestelle bei Verstößen</w:t>
      </w:r>
      <w:bookmarkEnd w:id="27"/>
    </w:p>
    <w:p w14:paraId="59BD13DF" w14:textId="77777777" w:rsidR="00B67AAE" w:rsidRDefault="00B67AAE" w:rsidP="006F1C5F">
      <w:pPr>
        <w:pStyle w:val="CMSIndent3"/>
      </w:pPr>
    </w:p>
    <w:p w14:paraId="073C829B" w14:textId="2D370003" w:rsidR="00B67AAE" w:rsidRPr="006F1C5F" w:rsidRDefault="001264BF" w:rsidP="006F1C5F">
      <w:pPr>
        <w:pStyle w:val="CMSIndent3"/>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14:paraId="6FC37C0D" w14:textId="77777777" w:rsidR="00184B92" w:rsidRDefault="00184B92" w:rsidP="005B5A00">
      <w:pPr>
        <w:pStyle w:val="CMSIndent2"/>
        <w:jc w:val="both"/>
      </w:pPr>
    </w:p>
    <w:p w14:paraId="397AF4A9" w14:textId="77777777" w:rsidR="00184B92" w:rsidRDefault="00184B92" w:rsidP="005B5A00">
      <w:pPr>
        <w:pStyle w:val="CMSIndent2"/>
        <w:jc w:val="both"/>
      </w:pPr>
    </w:p>
    <w:p w14:paraId="113FBCB1" w14:textId="77777777" w:rsidR="001A02EB" w:rsidRPr="0082660A" w:rsidRDefault="001A02EB" w:rsidP="00DA48BC">
      <w:pPr>
        <w:pStyle w:val="CMSHeading2"/>
        <w:jc w:val="both"/>
        <w:rPr>
          <w:color w:val="002060"/>
          <w:sz w:val="28"/>
          <w:szCs w:val="28"/>
        </w:rPr>
      </w:pPr>
      <w:bookmarkStart w:id="28" w:name="_Toc28008515"/>
      <w:r w:rsidRPr="00DA48BC">
        <w:rPr>
          <w:color w:val="002060"/>
          <w:sz w:val="28"/>
          <w:szCs w:val="28"/>
        </w:rPr>
        <w:t>Ansprechpartner</w:t>
      </w:r>
      <w:r w:rsidR="002C064C" w:rsidRPr="00DA48BC">
        <w:rPr>
          <w:color w:val="002060"/>
          <w:sz w:val="28"/>
          <w:szCs w:val="28"/>
        </w:rPr>
        <w:t xml:space="preserve"> / Geldwäschebeauftragter</w:t>
      </w:r>
      <w:bookmarkEnd w:id="28"/>
    </w:p>
    <w:p w14:paraId="5536810E" w14:textId="77777777" w:rsidR="001A02EB" w:rsidRDefault="001A02EB" w:rsidP="00DA48BC">
      <w:pPr>
        <w:pStyle w:val="CMSIndent2"/>
        <w:jc w:val="both"/>
      </w:pPr>
    </w:p>
    <w:p w14:paraId="3A6ED17F" w14:textId="5DF6F9C2"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XXX</w:t>
      </w:r>
      <w:r w:rsidR="009D6402" w:rsidRPr="00186C69">
        <w:t xml:space="preserve"> / Stellvertreter</w:t>
      </w:r>
      <w:r w:rsidR="004802CF" w:rsidRPr="00186C69">
        <w:t xml:space="preserve">: </w:t>
      </w:r>
      <w:r w:rsidR="00307647" w:rsidRPr="00186C69">
        <w:t>XXX</w:t>
      </w:r>
      <w:r w:rsidR="009D6402" w:rsidRPr="00186C69">
        <w:t>.</w:t>
      </w:r>
    </w:p>
    <w:p w14:paraId="4867C77C" w14:textId="77777777" w:rsidR="00B67AAE" w:rsidRDefault="00B67AAE" w:rsidP="006F1C5F">
      <w:pPr>
        <w:pStyle w:val="CMSIndent2"/>
        <w:ind w:left="567"/>
        <w:jc w:val="both"/>
      </w:pPr>
    </w:p>
    <w:p w14:paraId="505CAB6D" w14:textId="77777777" w:rsidR="00B67AAE" w:rsidRDefault="00B67AAE" w:rsidP="006F1C5F">
      <w:pPr>
        <w:pStyle w:val="CMSIndent2"/>
        <w:ind w:left="567"/>
        <w:jc w:val="both"/>
      </w:pPr>
    </w:p>
    <w:p w14:paraId="0E29441A" w14:textId="589CF7F3" w:rsidR="00B67AAE" w:rsidRDefault="00817B7D" w:rsidP="006F1C5F">
      <w:pPr>
        <w:pStyle w:val="CMSIndent2"/>
        <w:ind w:left="567"/>
        <w:jc w:val="both"/>
      </w:pPr>
      <w:r>
        <w:t>Ort</w:t>
      </w:r>
      <w:r w:rsidR="00CF11D8">
        <w:t xml:space="preserve">, </w:t>
      </w:r>
      <w:r w:rsidR="00307647">
        <w:t>Datum</w:t>
      </w:r>
    </w:p>
    <w:p w14:paraId="6C0A9DF4" w14:textId="77777777" w:rsidR="00A76D61" w:rsidRDefault="00A76D61" w:rsidP="006F1C5F">
      <w:pPr>
        <w:pStyle w:val="CMSIndent2"/>
        <w:ind w:left="567"/>
        <w:jc w:val="both"/>
      </w:pPr>
    </w:p>
    <w:p w14:paraId="6E5A8A8E" w14:textId="66D87758" w:rsidR="00A76D61" w:rsidRDefault="00307647" w:rsidP="006F1C5F">
      <w:pPr>
        <w:pStyle w:val="CMSIndent2"/>
        <w:ind w:left="567"/>
        <w:jc w:val="both"/>
      </w:pPr>
      <w:r>
        <w:t xml:space="preserve">Unterschrift </w:t>
      </w:r>
      <w:r w:rsidR="00186C69">
        <w:t xml:space="preserve">Mitglied </w:t>
      </w:r>
      <w:r>
        <w:t>Geschäftsleitung</w:t>
      </w:r>
    </w:p>
    <w:p w14:paraId="24A3683F" w14:textId="77777777" w:rsidR="00A041E3" w:rsidRPr="0047022D" w:rsidRDefault="00A041E3" w:rsidP="006F1C5F">
      <w:pPr>
        <w:ind w:left="567"/>
        <w:jc w:val="both"/>
      </w:pPr>
    </w:p>
    <w:sectPr w:rsidR="00A041E3" w:rsidRPr="0047022D" w:rsidSect="00856654">
      <w:headerReference w:type="even" r:id="rId14"/>
      <w:headerReference w:type="default" r:id="rId15"/>
      <w:footerReference w:type="even" r:id="rId16"/>
      <w:footerReference w:type="default" r:id="rId17"/>
      <w:headerReference w:type="first" r:id="rId18"/>
      <w:footerReference w:type="first" r:id="rId19"/>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86D42" w14:textId="77777777" w:rsidR="00522357" w:rsidRDefault="00522357">
      <w:r>
        <w:separator/>
      </w:r>
    </w:p>
  </w:endnote>
  <w:endnote w:type="continuationSeparator" w:id="0">
    <w:p w14:paraId="1A3B4485" w14:textId="77777777" w:rsidR="00522357" w:rsidRDefault="0052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C831" w14:textId="77777777" w:rsidR="00A677F5" w:rsidRDefault="00A677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B0A2" w14:textId="680E5D24" w:rsidR="00A677F5" w:rsidRDefault="00A677F5">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8D761F">
      <w:rPr>
        <w:noProof/>
      </w:rPr>
      <w:t>1</w:t>
    </w:r>
    <w:r w:rsidRPr="00E85A9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8B020" w14:textId="29290175" w:rsidR="00A677F5" w:rsidRDefault="00A677F5">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8D761F">
      <w:rPr>
        <w:noProof/>
      </w:rPr>
      <w:t>0</w:t>
    </w:r>
    <w:r w:rsidRPr="00E85A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0B65" w14:textId="77777777" w:rsidR="00522357" w:rsidRDefault="00522357">
      <w:r>
        <w:separator/>
      </w:r>
    </w:p>
  </w:footnote>
  <w:footnote w:type="continuationSeparator" w:id="0">
    <w:p w14:paraId="524ADA34" w14:textId="77777777" w:rsidR="00522357" w:rsidRDefault="00522357">
      <w:r>
        <w:continuationSeparator/>
      </w:r>
    </w:p>
  </w:footnote>
  <w:footnote w:id="1">
    <w:p w14:paraId="527B23C2" w14:textId="05F881E6" w:rsidR="00A677F5" w:rsidRDefault="00A677F5" w:rsidP="002B2BAC">
      <w:pPr>
        <w:pStyle w:val="Funotentext"/>
      </w:pPr>
      <w:r>
        <w:rPr>
          <w:rStyle w:val="Funotenzeichen"/>
        </w:rPr>
        <w:footnoteRef/>
      </w:r>
      <w:r>
        <w:t xml:space="preserve"> Bezogen auf Mandate aus den Jahren XXX und XXX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27F5" w14:textId="6F58FF76" w:rsidR="00A677F5" w:rsidRDefault="008D761F">
    <w:pPr>
      <w:pStyle w:val="Kopfzeile"/>
    </w:pPr>
    <w:r>
      <w:rPr>
        <w:noProof/>
      </w:rPr>
      <w:pict w14:anchorId="07D0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50" type="#_x0000_t136" style="position:absolute;margin-left:0;margin-top:0;width:519.6pt;height:129.9pt;rotation:315;z-index:-25165516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D222" w14:textId="5A2B893E" w:rsidR="00A677F5" w:rsidRDefault="008D761F">
    <w:pPr>
      <w:pStyle w:val="Kopfzeile"/>
    </w:pPr>
    <w:r>
      <w:rPr>
        <w:noProof/>
      </w:rPr>
      <w:pict w14:anchorId="5AE9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1" type="#_x0000_t136" style="position:absolute;margin-left:0;margin-top:0;width:519.6pt;height:129.9pt;rotation:315;z-index:-251653120;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D4CC" w14:textId="2BAD636D" w:rsidR="00A677F5" w:rsidRDefault="008D761F">
    <w:pPr>
      <w:pStyle w:val="Kopfzeile"/>
    </w:pPr>
    <w:r>
      <w:rPr>
        <w:noProof/>
      </w:rPr>
      <w:pict w14:anchorId="698E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49" type="#_x0000_t136" style="position:absolute;margin-left:0;margin-top:0;width:519.6pt;height:129.9pt;rotation:315;z-index:-25165721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15:restartNumberingAfterBreak="0">
    <w:nsid w:val="050D76AD"/>
    <w:multiLevelType w:val="hybridMultilevel"/>
    <w:tmpl w:val="82AC9F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AA44542"/>
    <w:multiLevelType w:val="hybridMultilevel"/>
    <w:tmpl w:val="540224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15:restartNumberingAfterBreak="0">
    <w:nsid w:val="2BBF7186"/>
    <w:multiLevelType w:val="hybridMultilevel"/>
    <w:tmpl w:val="080E740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7"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9" w15:restartNumberingAfterBreak="0">
    <w:nsid w:val="48BC0CD0"/>
    <w:multiLevelType w:val="hybridMultilevel"/>
    <w:tmpl w:val="4DE4B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2"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1C6470"/>
    <w:multiLevelType w:val="hybridMultilevel"/>
    <w:tmpl w:val="D9FE684C"/>
    <w:lvl w:ilvl="0" w:tplc="053AE96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6"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3C248AF"/>
    <w:multiLevelType w:val="hybridMultilevel"/>
    <w:tmpl w:val="36B41D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23"/>
  </w:num>
  <w:num w:numId="2">
    <w:abstractNumId w:val="27"/>
  </w:num>
  <w:num w:numId="3">
    <w:abstractNumId w:val="30"/>
  </w:num>
  <w:num w:numId="4">
    <w:abstractNumId w:val="9"/>
  </w:num>
  <w:num w:numId="5">
    <w:abstractNumId w:val="7"/>
  </w:num>
  <w:num w:numId="6">
    <w:abstractNumId w:val="6"/>
  </w:num>
  <w:num w:numId="7">
    <w:abstractNumId w:val="5"/>
  </w:num>
  <w:num w:numId="8">
    <w:abstractNumId w:val="4"/>
  </w:num>
  <w:num w:numId="9">
    <w:abstractNumId w:val="32"/>
  </w:num>
  <w:num w:numId="10">
    <w:abstractNumId w:val="34"/>
  </w:num>
  <w:num w:numId="11">
    <w:abstractNumId w:val="25"/>
  </w:num>
  <w:num w:numId="12">
    <w:abstractNumId w:val="17"/>
  </w:num>
  <w:num w:numId="13">
    <w:abstractNumId w:val="35"/>
  </w:num>
  <w:num w:numId="14">
    <w:abstractNumId w:val="20"/>
  </w:num>
  <w:num w:numId="15">
    <w:abstractNumId w:val="18"/>
  </w:num>
  <w:num w:numId="16">
    <w:abstractNumId w:val="12"/>
  </w:num>
  <w:num w:numId="17">
    <w:abstractNumId w:val="26"/>
  </w:num>
  <w:num w:numId="18">
    <w:abstractNumId w:val="38"/>
  </w:num>
  <w:num w:numId="19">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20">
    <w:abstractNumId w:val="31"/>
  </w:num>
  <w:num w:numId="21">
    <w:abstractNumId w:val="13"/>
  </w:num>
  <w:num w:numId="22">
    <w:abstractNumId w:val="14"/>
  </w:num>
  <w:num w:numId="23">
    <w:abstractNumId w:val="28"/>
  </w:num>
  <w:num w:numId="24">
    <w:abstractNumId w:val="36"/>
  </w:num>
  <w:num w:numId="25">
    <w:abstractNumId w:val="19"/>
  </w:num>
  <w:num w:numId="26">
    <w:abstractNumId w:val="21"/>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3"/>
  </w:num>
  <w:num w:numId="35">
    <w:abstractNumId w:val="11"/>
  </w:num>
  <w:num w:numId="36">
    <w:abstractNumId w:val="37"/>
  </w:num>
  <w:num w:numId="37">
    <w:abstractNumId w:val="10"/>
  </w:num>
  <w:num w:numId="38">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39">
    <w:abstractNumId w:val="22"/>
  </w:num>
  <w:num w:numId="40">
    <w:abstractNumId w:val="29"/>
  </w:num>
  <w:num w:numId="41">
    <w:abstractNumId w:val="16"/>
  </w:num>
  <w:num w:numId="42">
    <w:abstractNumId w:val="10"/>
    <w:lvlOverride w:ilvl="0">
      <w:startOverride w:val="1"/>
      <w:lvl w:ilvl="0">
        <w:start w:val="1"/>
        <w:numFmt w:val="decimal"/>
        <w:pStyle w:val="CMSHeading1"/>
        <w:lvlText w:val=""/>
        <w:lvlJc w:val="left"/>
      </w:lvl>
    </w:lvlOverride>
    <w:lvlOverride w:ilvl="1">
      <w:startOverride w:val="1"/>
      <w:lvl w:ilvl="1">
        <w:start w:val="1"/>
        <w:numFmt w:val="upperRoman"/>
        <w:pStyle w:val="CMSHeading2"/>
        <w:lvlText w:val="%2."/>
        <w:lvlJc w:val="left"/>
        <w:pPr>
          <w:tabs>
            <w:tab w:val="num" w:pos="567"/>
          </w:tabs>
          <w:ind w:left="567" w:hanging="567"/>
        </w:pPr>
        <w:rPr>
          <w:rFonts w:hint="default"/>
          <w:sz w:val="28"/>
          <w:szCs w:val="28"/>
        </w:rPr>
      </w:lvl>
    </w:lvlOverride>
    <w:lvlOverride w:ilvl="2">
      <w:startOverride w:val="5"/>
      <w:lvl w:ilvl="2">
        <w:start w:val="5"/>
        <w:numFmt w:val="decimal"/>
        <w:pStyle w:val="CMSHeading3"/>
        <w:lvlText w:val=""/>
        <w:lvlJc w:val="left"/>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B4FCF4-4763-4CF1-8939-DF543FE61AA3}"/>
    <w:docVar w:name="dgnword-eventsink" w:val="595701240"/>
  </w:docVars>
  <w:rsids>
    <w:rsidRoot w:val="00A671E7"/>
    <w:rsid w:val="0000040E"/>
    <w:rsid w:val="000005B9"/>
    <w:rsid w:val="000024A3"/>
    <w:rsid w:val="000101B5"/>
    <w:rsid w:val="000117A2"/>
    <w:rsid w:val="0001485E"/>
    <w:rsid w:val="00015EF2"/>
    <w:rsid w:val="000179E8"/>
    <w:rsid w:val="00020D72"/>
    <w:rsid w:val="00025559"/>
    <w:rsid w:val="00031CC8"/>
    <w:rsid w:val="00037399"/>
    <w:rsid w:val="000425B0"/>
    <w:rsid w:val="00042AF3"/>
    <w:rsid w:val="00044129"/>
    <w:rsid w:val="0004532A"/>
    <w:rsid w:val="00050D00"/>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1C8"/>
    <w:rsid w:val="0008596C"/>
    <w:rsid w:val="00085AB1"/>
    <w:rsid w:val="00087F1E"/>
    <w:rsid w:val="00090196"/>
    <w:rsid w:val="00091605"/>
    <w:rsid w:val="00092188"/>
    <w:rsid w:val="000937A1"/>
    <w:rsid w:val="000A21AF"/>
    <w:rsid w:val="000C32AE"/>
    <w:rsid w:val="000C4168"/>
    <w:rsid w:val="000C4AF1"/>
    <w:rsid w:val="000C4E12"/>
    <w:rsid w:val="000D12A0"/>
    <w:rsid w:val="000D5A9D"/>
    <w:rsid w:val="000D6156"/>
    <w:rsid w:val="000E0D84"/>
    <w:rsid w:val="000E11C1"/>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A02EB"/>
    <w:rsid w:val="001A0BC6"/>
    <w:rsid w:val="001A3F23"/>
    <w:rsid w:val="001B027A"/>
    <w:rsid w:val="001B1782"/>
    <w:rsid w:val="001B17C1"/>
    <w:rsid w:val="001B2F6B"/>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F01B2"/>
    <w:rsid w:val="002F0B46"/>
    <w:rsid w:val="002F2278"/>
    <w:rsid w:val="002F2279"/>
    <w:rsid w:val="002F559E"/>
    <w:rsid w:val="002F6FC4"/>
    <w:rsid w:val="00302723"/>
    <w:rsid w:val="00304C26"/>
    <w:rsid w:val="00307647"/>
    <w:rsid w:val="00307BB8"/>
    <w:rsid w:val="00310B42"/>
    <w:rsid w:val="00310DB2"/>
    <w:rsid w:val="00316E0F"/>
    <w:rsid w:val="00322AFD"/>
    <w:rsid w:val="0032324F"/>
    <w:rsid w:val="00327585"/>
    <w:rsid w:val="0033273A"/>
    <w:rsid w:val="00334456"/>
    <w:rsid w:val="00337173"/>
    <w:rsid w:val="00350E11"/>
    <w:rsid w:val="00351B3A"/>
    <w:rsid w:val="003569E5"/>
    <w:rsid w:val="00362032"/>
    <w:rsid w:val="00362D18"/>
    <w:rsid w:val="003661BB"/>
    <w:rsid w:val="003667D2"/>
    <w:rsid w:val="0036705C"/>
    <w:rsid w:val="00372A06"/>
    <w:rsid w:val="00374772"/>
    <w:rsid w:val="003811A2"/>
    <w:rsid w:val="00385A56"/>
    <w:rsid w:val="0039253E"/>
    <w:rsid w:val="00394331"/>
    <w:rsid w:val="00394458"/>
    <w:rsid w:val="003A35D8"/>
    <w:rsid w:val="003A645B"/>
    <w:rsid w:val="003A6FAF"/>
    <w:rsid w:val="003B2727"/>
    <w:rsid w:val="003C4AC7"/>
    <w:rsid w:val="003C719F"/>
    <w:rsid w:val="003D32E8"/>
    <w:rsid w:val="003D4397"/>
    <w:rsid w:val="003E032E"/>
    <w:rsid w:val="003E1A35"/>
    <w:rsid w:val="003E2CC8"/>
    <w:rsid w:val="003E50D4"/>
    <w:rsid w:val="003E66E8"/>
    <w:rsid w:val="003F206B"/>
    <w:rsid w:val="003F2CAD"/>
    <w:rsid w:val="003F3ADC"/>
    <w:rsid w:val="003F765E"/>
    <w:rsid w:val="00400167"/>
    <w:rsid w:val="0040270E"/>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94F"/>
    <w:rsid w:val="00471BF9"/>
    <w:rsid w:val="0047632E"/>
    <w:rsid w:val="004802CF"/>
    <w:rsid w:val="00490398"/>
    <w:rsid w:val="0049086D"/>
    <w:rsid w:val="0049293E"/>
    <w:rsid w:val="004A21AE"/>
    <w:rsid w:val="004B204B"/>
    <w:rsid w:val="004B61A7"/>
    <w:rsid w:val="004C221F"/>
    <w:rsid w:val="004C2A48"/>
    <w:rsid w:val="004C5A45"/>
    <w:rsid w:val="004C7B40"/>
    <w:rsid w:val="004D10E4"/>
    <w:rsid w:val="004D5868"/>
    <w:rsid w:val="004E1591"/>
    <w:rsid w:val="004E508A"/>
    <w:rsid w:val="004F68D2"/>
    <w:rsid w:val="0050048F"/>
    <w:rsid w:val="0050073F"/>
    <w:rsid w:val="005034DB"/>
    <w:rsid w:val="00504848"/>
    <w:rsid w:val="00505350"/>
    <w:rsid w:val="005062BB"/>
    <w:rsid w:val="0051244D"/>
    <w:rsid w:val="005130BD"/>
    <w:rsid w:val="0051416C"/>
    <w:rsid w:val="00517166"/>
    <w:rsid w:val="00522144"/>
    <w:rsid w:val="00522357"/>
    <w:rsid w:val="00531E5F"/>
    <w:rsid w:val="00537671"/>
    <w:rsid w:val="00542809"/>
    <w:rsid w:val="00543011"/>
    <w:rsid w:val="00544A44"/>
    <w:rsid w:val="00550B7C"/>
    <w:rsid w:val="00551675"/>
    <w:rsid w:val="00553582"/>
    <w:rsid w:val="00560F2C"/>
    <w:rsid w:val="005629EF"/>
    <w:rsid w:val="00563FD3"/>
    <w:rsid w:val="00573ECE"/>
    <w:rsid w:val="00575265"/>
    <w:rsid w:val="00595480"/>
    <w:rsid w:val="00596701"/>
    <w:rsid w:val="00596FC9"/>
    <w:rsid w:val="005A12D0"/>
    <w:rsid w:val="005A24E6"/>
    <w:rsid w:val="005A505C"/>
    <w:rsid w:val="005B2692"/>
    <w:rsid w:val="005B5A00"/>
    <w:rsid w:val="005B70C7"/>
    <w:rsid w:val="005C33FB"/>
    <w:rsid w:val="005C3587"/>
    <w:rsid w:val="005D484D"/>
    <w:rsid w:val="005D5A25"/>
    <w:rsid w:val="005E6E95"/>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93DF5"/>
    <w:rsid w:val="00697602"/>
    <w:rsid w:val="006A1068"/>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24E8"/>
    <w:rsid w:val="00712F40"/>
    <w:rsid w:val="0071550E"/>
    <w:rsid w:val="007174E0"/>
    <w:rsid w:val="0072614A"/>
    <w:rsid w:val="00726D52"/>
    <w:rsid w:val="00733530"/>
    <w:rsid w:val="00733597"/>
    <w:rsid w:val="007357B2"/>
    <w:rsid w:val="00737328"/>
    <w:rsid w:val="00742528"/>
    <w:rsid w:val="007474CF"/>
    <w:rsid w:val="00753E0C"/>
    <w:rsid w:val="0075794A"/>
    <w:rsid w:val="00762104"/>
    <w:rsid w:val="0076451E"/>
    <w:rsid w:val="0077617C"/>
    <w:rsid w:val="0077790A"/>
    <w:rsid w:val="007851BD"/>
    <w:rsid w:val="00786A88"/>
    <w:rsid w:val="00791AA2"/>
    <w:rsid w:val="007928EC"/>
    <w:rsid w:val="007A0FB5"/>
    <w:rsid w:val="007A268E"/>
    <w:rsid w:val="007A369A"/>
    <w:rsid w:val="007A7908"/>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1560"/>
    <w:rsid w:val="008C467A"/>
    <w:rsid w:val="008C57FB"/>
    <w:rsid w:val="008C5A7B"/>
    <w:rsid w:val="008D000E"/>
    <w:rsid w:val="008D2B45"/>
    <w:rsid w:val="008D2EC8"/>
    <w:rsid w:val="008D761F"/>
    <w:rsid w:val="008E0411"/>
    <w:rsid w:val="008E1212"/>
    <w:rsid w:val="008E2DA0"/>
    <w:rsid w:val="008F146A"/>
    <w:rsid w:val="008F1CE9"/>
    <w:rsid w:val="008F2FCE"/>
    <w:rsid w:val="008F345E"/>
    <w:rsid w:val="008F7FEF"/>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29AB"/>
    <w:rsid w:val="009A3541"/>
    <w:rsid w:val="009A383D"/>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6514"/>
    <w:rsid w:val="00A87812"/>
    <w:rsid w:val="00A90C48"/>
    <w:rsid w:val="00AA1D84"/>
    <w:rsid w:val="00AB2579"/>
    <w:rsid w:val="00AC0237"/>
    <w:rsid w:val="00AC59E5"/>
    <w:rsid w:val="00AC5C51"/>
    <w:rsid w:val="00AC5D66"/>
    <w:rsid w:val="00AC6DEA"/>
    <w:rsid w:val="00AD1C2B"/>
    <w:rsid w:val="00AD48B9"/>
    <w:rsid w:val="00AD4EBE"/>
    <w:rsid w:val="00AE073D"/>
    <w:rsid w:val="00AE34BF"/>
    <w:rsid w:val="00AF154C"/>
    <w:rsid w:val="00AF4A98"/>
    <w:rsid w:val="00AF4F2D"/>
    <w:rsid w:val="00AF74B8"/>
    <w:rsid w:val="00B0246D"/>
    <w:rsid w:val="00B12B42"/>
    <w:rsid w:val="00B12CA9"/>
    <w:rsid w:val="00B14105"/>
    <w:rsid w:val="00B16A58"/>
    <w:rsid w:val="00B17A00"/>
    <w:rsid w:val="00B2040A"/>
    <w:rsid w:val="00B25304"/>
    <w:rsid w:val="00B272CE"/>
    <w:rsid w:val="00B27832"/>
    <w:rsid w:val="00B33958"/>
    <w:rsid w:val="00B34A28"/>
    <w:rsid w:val="00B442C0"/>
    <w:rsid w:val="00B515D7"/>
    <w:rsid w:val="00B5426C"/>
    <w:rsid w:val="00B56FFD"/>
    <w:rsid w:val="00B57F6C"/>
    <w:rsid w:val="00B61A1D"/>
    <w:rsid w:val="00B63864"/>
    <w:rsid w:val="00B67AAE"/>
    <w:rsid w:val="00B72C4A"/>
    <w:rsid w:val="00B74B5A"/>
    <w:rsid w:val="00B83AF2"/>
    <w:rsid w:val="00B8530A"/>
    <w:rsid w:val="00B90E0C"/>
    <w:rsid w:val="00B92344"/>
    <w:rsid w:val="00B92D1E"/>
    <w:rsid w:val="00B946A4"/>
    <w:rsid w:val="00B94B84"/>
    <w:rsid w:val="00B9578F"/>
    <w:rsid w:val="00B95F9F"/>
    <w:rsid w:val="00BA181C"/>
    <w:rsid w:val="00BA2603"/>
    <w:rsid w:val="00BB1AE2"/>
    <w:rsid w:val="00BB1F71"/>
    <w:rsid w:val="00BB26E6"/>
    <w:rsid w:val="00BB4288"/>
    <w:rsid w:val="00BB62FF"/>
    <w:rsid w:val="00BC1CC3"/>
    <w:rsid w:val="00BC527C"/>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B76"/>
    <w:rsid w:val="00C57BD3"/>
    <w:rsid w:val="00C65700"/>
    <w:rsid w:val="00C65F93"/>
    <w:rsid w:val="00C66F13"/>
    <w:rsid w:val="00C7166B"/>
    <w:rsid w:val="00C71BCB"/>
    <w:rsid w:val="00C73F5D"/>
    <w:rsid w:val="00C74AB9"/>
    <w:rsid w:val="00C76FD3"/>
    <w:rsid w:val="00C9108D"/>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262F"/>
    <w:rsid w:val="00D02665"/>
    <w:rsid w:val="00D041F9"/>
    <w:rsid w:val="00D11036"/>
    <w:rsid w:val="00D12708"/>
    <w:rsid w:val="00D16AF1"/>
    <w:rsid w:val="00D17FD7"/>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5C6F"/>
    <w:rsid w:val="00D961B7"/>
    <w:rsid w:val="00DA024A"/>
    <w:rsid w:val="00DA133A"/>
    <w:rsid w:val="00DA48BC"/>
    <w:rsid w:val="00DA5259"/>
    <w:rsid w:val="00DA5AE3"/>
    <w:rsid w:val="00DB6055"/>
    <w:rsid w:val="00DC0BA9"/>
    <w:rsid w:val="00DC5F03"/>
    <w:rsid w:val="00DC6BE6"/>
    <w:rsid w:val="00DD01D3"/>
    <w:rsid w:val="00DD1CCD"/>
    <w:rsid w:val="00DD254B"/>
    <w:rsid w:val="00DD4620"/>
    <w:rsid w:val="00DE2ED3"/>
    <w:rsid w:val="00DE32EC"/>
    <w:rsid w:val="00DE565E"/>
    <w:rsid w:val="00DE56AC"/>
    <w:rsid w:val="00DE6DC5"/>
    <w:rsid w:val="00DF439F"/>
    <w:rsid w:val="00DF4645"/>
    <w:rsid w:val="00E06A24"/>
    <w:rsid w:val="00E07FED"/>
    <w:rsid w:val="00E13B28"/>
    <w:rsid w:val="00E14336"/>
    <w:rsid w:val="00E146EC"/>
    <w:rsid w:val="00E221F9"/>
    <w:rsid w:val="00E23E2C"/>
    <w:rsid w:val="00E241AD"/>
    <w:rsid w:val="00E308BC"/>
    <w:rsid w:val="00E332D7"/>
    <w:rsid w:val="00E34E30"/>
    <w:rsid w:val="00E44319"/>
    <w:rsid w:val="00E46BB0"/>
    <w:rsid w:val="00E5493C"/>
    <w:rsid w:val="00E5662D"/>
    <w:rsid w:val="00E56E76"/>
    <w:rsid w:val="00E66F6C"/>
    <w:rsid w:val="00E7182E"/>
    <w:rsid w:val="00E71F64"/>
    <w:rsid w:val="00E72C6F"/>
    <w:rsid w:val="00E745DE"/>
    <w:rsid w:val="00E775A0"/>
    <w:rsid w:val="00E83E6F"/>
    <w:rsid w:val="00E84C14"/>
    <w:rsid w:val="00E859D6"/>
    <w:rsid w:val="00E86861"/>
    <w:rsid w:val="00E8741E"/>
    <w:rsid w:val="00E92522"/>
    <w:rsid w:val="00E94679"/>
    <w:rsid w:val="00EA3F00"/>
    <w:rsid w:val="00EA506D"/>
    <w:rsid w:val="00EA74DE"/>
    <w:rsid w:val="00EB0A79"/>
    <w:rsid w:val="00EB24DF"/>
    <w:rsid w:val="00EB2F88"/>
    <w:rsid w:val="00EC4226"/>
    <w:rsid w:val="00EC6606"/>
    <w:rsid w:val="00ED327E"/>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294B"/>
    <w:rsid w:val="00F24160"/>
    <w:rsid w:val="00F30631"/>
    <w:rsid w:val="00F33895"/>
    <w:rsid w:val="00F35B2A"/>
    <w:rsid w:val="00F3664D"/>
    <w:rsid w:val="00F404EA"/>
    <w:rsid w:val="00F4074E"/>
    <w:rsid w:val="00F41C53"/>
    <w:rsid w:val="00F47093"/>
    <w:rsid w:val="00F4743D"/>
    <w:rsid w:val="00F5156B"/>
    <w:rsid w:val="00F53A7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F80B26"/>
  <w15:docId w15:val="{B58FEB66-4FF9-403C-AC84-F11E75EC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semiHidden/>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semiHidden/>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4862">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sChild>
        <w:div w:id="911237381">
          <w:marLeft w:val="0"/>
          <w:marRight w:val="0"/>
          <w:marTop w:val="0"/>
          <w:marBottom w:val="0"/>
          <w:divBdr>
            <w:top w:val="none" w:sz="0" w:space="0" w:color="auto"/>
            <w:left w:val="none" w:sz="0" w:space="0" w:color="auto"/>
            <w:bottom w:val="none" w:sz="0" w:space="0" w:color="auto"/>
            <w:right w:val="none" w:sz="0" w:space="0" w:color="auto"/>
          </w:divBdr>
          <w:divsChild>
            <w:div w:id="1029260988">
              <w:marLeft w:val="0"/>
              <w:marRight w:val="0"/>
              <w:marTop w:val="0"/>
              <w:marBottom w:val="0"/>
              <w:divBdr>
                <w:top w:val="none" w:sz="0" w:space="0" w:color="auto"/>
                <w:left w:val="none" w:sz="0" w:space="0" w:color="auto"/>
                <w:bottom w:val="none" w:sz="0" w:space="0" w:color="auto"/>
                <w:right w:val="none" w:sz="0" w:space="0" w:color="auto"/>
              </w:divBdr>
              <w:divsChild>
                <w:div w:id="588346494">
                  <w:marLeft w:val="0"/>
                  <w:marRight w:val="0"/>
                  <w:marTop w:val="0"/>
                  <w:marBottom w:val="0"/>
                  <w:divBdr>
                    <w:top w:val="none" w:sz="0" w:space="0" w:color="auto"/>
                    <w:left w:val="none" w:sz="0" w:space="0" w:color="auto"/>
                    <w:bottom w:val="none" w:sz="0" w:space="0" w:color="auto"/>
                    <w:right w:val="none" w:sz="0" w:space="0" w:color="auto"/>
                  </w:divBdr>
                  <w:divsChild>
                    <w:div w:id="1769352326">
                      <w:marLeft w:val="0"/>
                      <w:marRight w:val="0"/>
                      <w:marTop w:val="0"/>
                      <w:marBottom w:val="0"/>
                      <w:divBdr>
                        <w:top w:val="none" w:sz="0" w:space="0" w:color="auto"/>
                        <w:left w:val="none" w:sz="0" w:space="0" w:color="auto"/>
                        <w:bottom w:val="none" w:sz="0" w:space="0" w:color="auto"/>
                        <w:right w:val="none" w:sz="0" w:space="0" w:color="auto"/>
                      </w:divBdr>
                      <w:divsChild>
                        <w:div w:id="1061101349">
                          <w:marLeft w:val="0"/>
                          <w:marRight w:val="0"/>
                          <w:marTop w:val="0"/>
                          <w:marBottom w:val="0"/>
                          <w:divBdr>
                            <w:top w:val="none" w:sz="0" w:space="0" w:color="auto"/>
                            <w:left w:val="none" w:sz="0" w:space="0" w:color="auto"/>
                            <w:bottom w:val="none" w:sz="0" w:space="0" w:color="auto"/>
                            <w:right w:val="none" w:sz="0" w:space="0" w:color="auto"/>
                          </w:divBdr>
                          <w:divsChild>
                            <w:div w:id="622421301">
                              <w:marLeft w:val="0"/>
                              <w:marRight w:val="0"/>
                              <w:marTop w:val="0"/>
                              <w:marBottom w:val="0"/>
                              <w:divBdr>
                                <w:top w:val="none" w:sz="0" w:space="0" w:color="auto"/>
                                <w:left w:val="none" w:sz="0" w:space="0" w:color="auto"/>
                                <w:bottom w:val="none" w:sz="0" w:space="0" w:color="auto"/>
                                <w:right w:val="none" w:sz="0" w:space="0" w:color="auto"/>
                              </w:divBdr>
                              <w:divsChild>
                                <w:div w:id="351614233">
                                  <w:marLeft w:val="0"/>
                                  <w:marRight w:val="0"/>
                                  <w:marTop w:val="0"/>
                                  <w:marBottom w:val="0"/>
                                  <w:divBdr>
                                    <w:top w:val="none" w:sz="0" w:space="0" w:color="auto"/>
                                    <w:left w:val="none" w:sz="0" w:space="0" w:color="auto"/>
                                    <w:bottom w:val="none" w:sz="0" w:space="0" w:color="auto"/>
                                    <w:right w:val="none" w:sz="0" w:space="0" w:color="auto"/>
                                  </w:divBdr>
                                  <w:divsChild>
                                    <w:div w:id="362756187">
                                      <w:marLeft w:val="0"/>
                                      <w:marRight w:val="0"/>
                                      <w:marTop w:val="0"/>
                                      <w:marBottom w:val="0"/>
                                      <w:divBdr>
                                        <w:top w:val="none" w:sz="0" w:space="0" w:color="auto"/>
                                        <w:left w:val="none" w:sz="0" w:space="0" w:color="auto"/>
                                        <w:bottom w:val="none" w:sz="0" w:space="0" w:color="auto"/>
                                        <w:right w:val="none" w:sz="0" w:space="0" w:color="auto"/>
                                      </w:divBdr>
                                      <w:divsChild>
                                        <w:div w:id="1027563043">
                                          <w:marLeft w:val="0"/>
                                          <w:marRight w:val="0"/>
                                          <w:marTop w:val="0"/>
                                          <w:marBottom w:val="0"/>
                                          <w:divBdr>
                                            <w:top w:val="none" w:sz="0" w:space="0" w:color="auto"/>
                                            <w:left w:val="none" w:sz="0" w:space="0" w:color="auto"/>
                                            <w:bottom w:val="none" w:sz="0" w:space="0" w:color="auto"/>
                                            <w:right w:val="none" w:sz="0" w:space="0" w:color="auto"/>
                                          </w:divBdr>
                                          <w:divsChild>
                                            <w:div w:id="689260406">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89729728">
                                              <w:marLeft w:val="0"/>
                                              <w:marRight w:val="0"/>
                                              <w:marTop w:val="0"/>
                                              <w:marBottom w:val="0"/>
                                              <w:divBdr>
                                                <w:top w:val="none" w:sz="0" w:space="0" w:color="auto"/>
                                                <w:left w:val="none" w:sz="0" w:space="0" w:color="auto"/>
                                                <w:bottom w:val="none" w:sz="0" w:space="0" w:color="auto"/>
                                                <w:right w:val="none" w:sz="0" w:space="0" w:color="auto"/>
                                              </w:divBdr>
                                            </w:div>
                                            <w:div w:id="1413356433">
                                              <w:marLeft w:val="0"/>
                                              <w:marRight w:val="0"/>
                                              <w:marTop w:val="0"/>
                                              <w:marBottom w:val="0"/>
                                              <w:divBdr>
                                                <w:top w:val="none" w:sz="0" w:space="0" w:color="auto"/>
                                                <w:left w:val="none" w:sz="0" w:space="0" w:color="auto"/>
                                                <w:bottom w:val="none" w:sz="0" w:space="0" w:color="auto"/>
                                                <w:right w:val="none" w:sz="0" w:space="0" w:color="auto"/>
                                              </w:divBdr>
                                            </w:div>
                                            <w:div w:id="2679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912">
      <w:bodyDiv w:val="1"/>
      <w:marLeft w:val="0"/>
      <w:marRight w:val="0"/>
      <w:marTop w:val="0"/>
      <w:marBottom w:val="0"/>
      <w:divBdr>
        <w:top w:val="none" w:sz="0" w:space="0" w:color="auto"/>
        <w:left w:val="none" w:sz="0" w:space="0" w:color="auto"/>
        <w:bottom w:val="none" w:sz="0" w:space="0" w:color="auto"/>
        <w:right w:val="none" w:sz="0" w:space="0" w:color="auto"/>
      </w:divBdr>
    </w:div>
    <w:div w:id="1166283842">
      <w:bodyDiv w:val="1"/>
      <w:marLeft w:val="0"/>
      <w:marRight w:val="0"/>
      <w:marTop w:val="0"/>
      <w:marBottom w:val="0"/>
      <w:divBdr>
        <w:top w:val="none" w:sz="0" w:space="0" w:color="auto"/>
        <w:left w:val="none" w:sz="0" w:space="0" w:color="auto"/>
        <w:bottom w:val="none" w:sz="0" w:space="0" w:color="auto"/>
        <w:right w:val="none" w:sz="0" w:space="0" w:color="auto"/>
      </w:divBdr>
    </w:div>
    <w:div w:id="1270620216">
      <w:bodyDiv w:val="1"/>
      <w:marLeft w:val="0"/>
      <w:marRight w:val="0"/>
      <w:marTop w:val="0"/>
      <w:marBottom w:val="0"/>
      <w:divBdr>
        <w:top w:val="none" w:sz="0" w:space="0" w:color="auto"/>
        <w:left w:val="none" w:sz="0" w:space="0" w:color="auto"/>
        <w:bottom w:val="none" w:sz="0" w:space="0" w:color="auto"/>
        <w:right w:val="none" w:sz="0" w:space="0" w:color="auto"/>
      </w:divBdr>
    </w:div>
    <w:div w:id="1889679657">
      <w:bodyDiv w:val="1"/>
      <w:marLeft w:val="0"/>
      <w:marRight w:val="0"/>
      <w:marTop w:val="0"/>
      <w:marBottom w:val="0"/>
      <w:divBdr>
        <w:top w:val="none" w:sz="0" w:space="0" w:color="auto"/>
        <w:left w:val="none" w:sz="0" w:space="0" w:color="auto"/>
        <w:bottom w:val="none" w:sz="0" w:space="0" w:color="auto"/>
        <w:right w:val="none" w:sz="0" w:space="0" w:color="auto"/>
      </w:divBdr>
      <w:divsChild>
        <w:div w:id="1592741693">
          <w:marLeft w:val="0"/>
          <w:marRight w:val="0"/>
          <w:marTop w:val="0"/>
          <w:marBottom w:val="0"/>
          <w:divBdr>
            <w:top w:val="none" w:sz="0" w:space="0" w:color="auto"/>
            <w:left w:val="none" w:sz="0" w:space="0" w:color="auto"/>
            <w:bottom w:val="none" w:sz="0" w:space="0" w:color="auto"/>
            <w:right w:val="none" w:sz="0" w:space="0" w:color="auto"/>
          </w:divBdr>
          <w:divsChild>
            <w:div w:id="794107348">
              <w:marLeft w:val="0"/>
              <w:marRight w:val="0"/>
              <w:marTop w:val="0"/>
              <w:marBottom w:val="0"/>
              <w:divBdr>
                <w:top w:val="none" w:sz="0" w:space="0" w:color="auto"/>
                <w:left w:val="none" w:sz="0" w:space="0" w:color="auto"/>
                <w:bottom w:val="none" w:sz="0" w:space="0" w:color="auto"/>
                <w:right w:val="none" w:sz="0" w:space="0" w:color="auto"/>
              </w:divBdr>
              <w:divsChild>
                <w:div w:id="560672509">
                  <w:marLeft w:val="0"/>
                  <w:marRight w:val="0"/>
                  <w:marTop w:val="0"/>
                  <w:marBottom w:val="0"/>
                  <w:divBdr>
                    <w:top w:val="none" w:sz="0" w:space="0" w:color="auto"/>
                    <w:left w:val="none" w:sz="0" w:space="0" w:color="auto"/>
                    <w:bottom w:val="none" w:sz="0" w:space="0" w:color="auto"/>
                    <w:right w:val="none" w:sz="0" w:space="0" w:color="auto"/>
                  </w:divBdr>
                  <w:divsChild>
                    <w:div w:id="1068578931">
                      <w:marLeft w:val="0"/>
                      <w:marRight w:val="0"/>
                      <w:marTop w:val="0"/>
                      <w:marBottom w:val="0"/>
                      <w:divBdr>
                        <w:top w:val="none" w:sz="0" w:space="0" w:color="auto"/>
                        <w:left w:val="none" w:sz="0" w:space="0" w:color="auto"/>
                        <w:bottom w:val="none" w:sz="0" w:space="0" w:color="auto"/>
                        <w:right w:val="none" w:sz="0" w:space="0" w:color="auto"/>
                      </w:divBdr>
                      <w:divsChild>
                        <w:div w:id="791554703">
                          <w:marLeft w:val="0"/>
                          <w:marRight w:val="0"/>
                          <w:marTop w:val="0"/>
                          <w:marBottom w:val="0"/>
                          <w:divBdr>
                            <w:top w:val="none" w:sz="0" w:space="0" w:color="auto"/>
                            <w:left w:val="none" w:sz="0" w:space="0" w:color="auto"/>
                            <w:bottom w:val="none" w:sz="0" w:space="0" w:color="auto"/>
                            <w:right w:val="none" w:sz="0" w:space="0" w:color="auto"/>
                          </w:divBdr>
                          <w:divsChild>
                            <w:div w:id="1568764710">
                              <w:marLeft w:val="0"/>
                              <w:marRight w:val="0"/>
                              <w:marTop w:val="0"/>
                              <w:marBottom w:val="0"/>
                              <w:divBdr>
                                <w:top w:val="none" w:sz="0" w:space="0" w:color="auto"/>
                                <w:left w:val="none" w:sz="0" w:space="0" w:color="auto"/>
                                <w:bottom w:val="none" w:sz="0" w:space="0" w:color="auto"/>
                                <w:right w:val="none" w:sz="0" w:space="0" w:color="auto"/>
                              </w:divBdr>
                              <w:divsChild>
                                <w:div w:id="1275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Arbeitsblat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Arbeitsblat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Arbeitsblat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77-4340-96FE-67449DB178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77-4340-96FE-67449DB178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77-4340-96FE-67449DB17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8C77-4340-96FE-67449DB1788E}"/>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93-4B19-9CF0-4D1B036105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93-4B19-9CF0-4D1B036105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93-4B19-9CF0-4D1B036105B8}"/>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493-4B19-9CF0-4D1B036105B8}"/>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C493-4B19-9CF0-4D1B03610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493-4B19-9CF0-4D1B036105B8}"/>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6E0-4A19-BC73-DC46675A25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6E0-4A19-BC73-DC46675A25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6E0-4A19-BC73-DC46675A25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16E0-4A19-BC73-DC46675A25D3}"/>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 </a:t>
            </a:r>
          </a:p>
          <a:p>
            <a:pPr>
              <a:defRPr/>
            </a:pPr>
            <a:r>
              <a:rPr lang="de-DE"/>
              <a:t>Katalogmandate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5A-49AD-B250-CD346EFA19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5A-49AD-B250-CD346EFA19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85A-49AD-B250-CD346EFA19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85A-49AD-B250-CD346EFA192C}"/>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Entwicklung</a:t>
            </a:r>
            <a:r>
              <a:rPr lang="en-US" baseline="0"/>
              <a:t> der Anzahl der </a:t>
            </a:r>
            <a:r>
              <a:rPr lang="en-US"/>
              <a:t>Verdachtsmeldungen nach dem GwG 2008-2018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Entwicklung Verdachtsmeldungen nach dem GwG 2006-2015</c:v>
                </c:pt>
              </c:strCache>
            </c:strRef>
          </c:tx>
          <c:spPr>
            <a:solidFill>
              <a:schemeClr val="tx2">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Tabelle1!$A$2:$A$12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Tabelle1!$B$2:$B$12</c:f>
              <c:numCache>
                <c:formatCode>#,##0</c:formatCode>
                <c:ptCount val="11"/>
                <c:pt idx="0">
                  <c:v>7349</c:v>
                </c:pt>
                <c:pt idx="1">
                  <c:v>9756</c:v>
                </c:pt>
                <c:pt idx="2">
                  <c:v>11712</c:v>
                </c:pt>
                <c:pt idx="3">
                  <c:v>13544</c:v>
                </c:pt>
                <c:pt idx="4">
                  <c:v>15496</c:v>
                </c:pt>
                <c:pt idx="5">
                  <c:v>20716</c:v>
                </c:pt>
                <c:pt idx="6">
                  <c:v>25980</c:v>
                </c:pt>
                <c:pt idx="7">
                  <c:v>32008</c:v>
                </c:pt>
                <c:pt idx="8">
                  <c:v>45597</c:v>
                </c:pt>
                <c:pt idx="9">
                  <c:v>59845</c:v>
                </c:pt>
                <c:pt idx="10">
                  <c:v>77252</c:v>
                </c:pt>
              </c:numCache>
            </c:numRef>
          </c:val>
          <c:extLst>
            <c:ext xmlns:c16="http://schemas.microsoft.com/office/drawing/2014/chart" uri="{C3380CC4-5D6E-409C-BE32-E72D297353CC}">
              <c16:uniqueId val="{00000000-DA0E-4482-8FF9-E1B605D10D41}"/>
            </c:ext>
          </c:extLst>
        </c:ser>
        <c:dLbls>
          <c:dLblPos val="outEnd"/>
          <c:showLegendKey val="0"/>
          <c:showVal val="1"/>
          <c:showCatName val="0"/>
          <c:showSerName val="0"/>
          <c:showPercent val="0"/>
          <c:showBubbleSize val="0"/>
        </c:dLbls>
        <c:gapWidth val="219"/>
        <c:overlap val="-27"/>
        <c:axId val="36812672"/>
        <c:axId val="36823808"/>
      </c:barChart>
      <c:catAx>
        <c:axId val="36812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6823808"/>
        <c:crosses val="autoZero"/>
        <c:auto val="1"/>
        <c:lblAlgn val="ctr"/>
        <c:lblOffset val="100"/>
        <c:noMultiLvlLbl val="0"/>
      </c:catAx>
      <c:valAx>
        <c:axId val="36823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681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C2242-6E21-4187-AF00-EFEF6ABF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3453</Words>
  <Characters>21759</Characters>
  <Application>Microsoft Office Word</Application>
  <DocSecurity>4</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Christoph</dc:creator>
  <cp:lastModifiedBy>Herr März</cp:lastModifiedBy>
  <cp:revision>2</cp:revision>
  <dcterms:created xsi:type="dcterms:W3CDTF">2020-01-15T18:28:00Z</dcterms:created>
  <dcterms:modified xsi:type="dcterms:W3CDTF">2020-01-15T18:28:00Z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-627362599</vt:i4>
  </property>
  <property fmtid="{D5CDD505-2E9C-101B-9397-08002B2CF9AE}" pid="3" name="_NewReviewCycle">
    <vt:lpwstr/>
  </property>
  <property fmtid="{D5CDD505-2E9C-101B-9397-08002B2CF9AE}" pid="4" name="_EmailSubject">
    <vt:lpwstr>Überarbeitete Muster-Risikoanalyse </vt:lpwstr>
  </property>
  <property fmtid="{D5CDD505-2E9C-101B-9397-08002B2CF9AE}" pid="5" name="_PreviousAdHocReviewCycleID">
    <vt:i4>-1439354503</vt:i4>
  </property>
  <property fmtid="{D5CDD505-2E9C-101B-9397-08002B2CF9AE}" pid="6" name="_ReviewingToolsShownOnce">
    <vt:lpwstr/>
  </property>
</Properties>
</file>